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09" w:rsidRPr="005A3B09" w:rsidRDefault="005A3B09" w:rsidP="005A3B09">
      <w:pPr>
        <w:pStyle w:val="a10"/>
        <w:spacing w:before="0" w:beforeAutospacing="0" w:after="0" w:afterAutospacing="0"/>
        <w:jc w:val="center"/>
        <w:rPr>
          <w:sz w:val="27"/>
          <w:szCs w:val="27"/>
        </w:rPr>
      </w:pPr>
      <w:bookmarkStart w:id="0" w:name="_GoBack"/>
      <w:r w:rsidRPr="005A3B09">
        <w:rPr>
          <w:b/>
          <w:bCs/>
          <w:sz w:val="27"/>
          <w:szCs w:val="27"/>
        </w:rPr>
        <w:t>Информация</w:t>
      </w:r>
    </w:p>
    <w:p w:rsidR="005A3B09" w:rsidRPr="005A3B09" w:rsidRDefault="005A3B09" w:rsidP="005A3B09">
      <w:pPr>
        <w:pStyle w:val="a10"/>
        <w:spacing w:before="0" w:beforeAutospacing="0" w:after="0" w:afterAutospacing="0"/>
        <w:jc w:val="center"/>
        <w:rPr>
          <w:sz w:val="27"/>
          <w:szCs w:val="27"/>
        </w:rPr>
      </w:pPr>
      <w:r w:rsidRPr="005A3B09">
        <w:rPr>
          <w:b/>
          <w:bCs/>
          <w:sz w:val="27"/>
          <w:szCs w:val="27"/>
        </w:rPr>
        <w:t>по результатам экспе</w:t>
      </w:r>
      <w:r>
        <w:rPr>
          <w:b/>
          <w:bCs/>
          <w:sz w:val="27"/>
          <w:szCs w:val="27"/>
        </w:rPr>
        <w:t>ртно-аналитического мероприятия</w:t>
      </w:r>
      <w:r w:rsidRPr="005A3B09">
        <w:rPr>
          <w:b/>
          <w:bCs/>
          <w:sz w:val="27"/>
          <w:szCs w:val="27"/>
        </w:rPr>
        <w:t xml:space="preserve"> на проект решения Совета</w:t>
      </w:r>
      <w:r>
        <w:rPr>
          <w:b/>
          <w:bCs/>
          <w:sz w:val="27"/>
          <w:szCs w:val="27"/>
        </w:rPr>
        <w:t xml:space="preserve"> депутатов </w:t>
      </w:r>
      <w:proofErr w:type="spellStart"/>
      <w:r>
        <w:rPr>
          <w:b/>
          <w:bCs/>
          <w:sz w:val="27"/>
          <w:szCs w:val="27"/>
        </w:rPr>
        <w:t>Аскизского</w:t>
      </w:r>
      <w:proofErr w:type="spellEnd"/>
      <w:r>
        <w:rPr>
          <w:b/>
          <w:bCs/>
          <w:sz w:val="27"/>
          <w:szCs w:val="27"/>
        </w:rPr>
        <w:t xml:space="preserve"> района «О</w:t>
      </w:r>
      <w:r w:rsidRPr="005A3B09">
        <w:rPr>
          <w:b/>
          <w:bCs/>
          <w:sz w:val="27"/>
          <w:szCs w:val="27"/>
        </w:rPr>
        <w:t xml:space="preserve"> бюджете муниципального образования </w:t>
      </w:r>
      <w:proofErr w:type="spellStart"/>
      <w:r w:rsidRPr="005A3B09">
        <w:rPr>
          <w:b/>
          <w:bCs/>
          <w:sz w:val="27"/>
          <w:szCs w:val="27"/>
        </w:rPr>
        <w:t>Аскизский</w:t>
      </w:r>
      <w:proofErr w:type="spellEnd"/>
      <w:r w:rsidRPr="005A3B09">
        <w:rPr>
          <w:b/>
          <w:bCs/>
          <w:sz w:val="27"/>
          <w:szCs w:val="27"/>
        </w:rPr>
        <w:t xml:space="preserve"> район на 2020 год и на плановый период 2021 и 2022 годов»</w:t>
      </w:r>
      <w:bookmarkEnd w:id="0"/>
    </w:p>
    <w:p w:rsidR="005A3B09" w:rsidRPr="005A3B09" w:rsidRDefault="005A3B09" w:rsidP="005A3B09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12 декабря 2019г.</w:t>
      </w:r>
    </w:p>
    <w:p w:rsidR="005A3B09" w:rsidRPr="005A3B09" w:rsidRDefault="005A3B09" w:rsidP="005A3B09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b/>
          <w:bCs/>
          <w:sz w:val="27"/>
          <w:szCs w:val="27"/>
        </w:rPr>
        <w:t>1.Основание для проведения экспертизы</w:t>
      </w:r>
      <w:r w:rsidRPr="005A3B09">
        <w:rPr>
          <w:rFonts w:ascii="Times New Roman" w:hAnsi="Times New Roman" w:cs="Times New Roman"/>
          <w:sz w:val="27"/>
          <w:szCs w:val="27"/>
        </w:rPr>
        <w:t xml:space="preserve">: ч.2 ст. 157 Бюджетного кодекса РФ,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от </w:t>
      </w:r>
      <w:r w:rsidRPr="005A3B09">
        <w:rPr>
          <w:rStyle w:val="14"/>
          <w:rFonts w:ascii="Times New Roman" w:hAnsi="Times New Roman" w:cs="Times New Roman"/>
          <w:sz w:val="27"/>
          <w:szCs w:val="27"/>
        </w:rPr>
        <w:t>27.12.2012 года № 93-рс</w:t>
      </w:r>
      <w:r w:rsidRPr="005A3B09">
        <w:rPr>
          <w:rFonts w:ascii="Times New Roman" w:hAnsi="Times New Roman" w:cs="Times New Roman"/>
          <w:sz w:val="27"/>
          <w:szCs w:val="27"/>
        </w:rPr>
        <w:t xml:space="preserve"> «О Контрольно-ревизионной комиссии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Республики Хакасия», Решение Совета депутатов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от </w:t>
      </w:r>
      <w:r w:rsidRPr="005A3B09">
        <w:rPr>
          <w:rStyle w:val="14"/>
          <w:rFonts w:ascii="Times New Roman" w:hAnsi="Times New Roman" w:cs="Times New Roman"/>
          <w:sz w:val="27"/>
          <w:szCs w:val="27"/>
        </w:rPr>
        <w:t>29.05.2008 года № 124-рс</w:t>
      </w:r>
      <w:r w:rsidRPr="005A3B09">
        <w:rPr>
          <w:rFonts w:ascii="Times New Roman" w:hAnsi="Times New Roman" w:cs="Times New Roman"/>
          <w:sz w:val="27"/>
          <w:szCs w:val="27"/>
        </w:rPr>
        <w:t xml:space="preserve"> «Об утверждении Положения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«О бюджетном процессе и межбюджетных отношениях в муниципальном образовании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район», п. 3.9 плана Контрольно-ревизионной комиссии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Республики Хакасия на 2019 год, утвержденный приказом председателя от 29.12.2018г. № 35.</w:t>
      </w:r>
    </w:p>
    <w:p w:rsidR="005A3B09" w:rsidRPr="005A3B09" w:rsidRDefault="005A3B09" w:rsidP="005A3B09">
      <w:pPr>
        <w:pStyle w:val="a10"/>
        <w:spacing w:before="0" w:beforeAutospacing="0" w:after="0" w:afterAutospacing="0"/>
        <w:ind w:firstLine="540"/>
        <w:rPr>
          <w:sz w:val="27"/>
          <w:szCs w:val="27"/>
        </w:rPr>
      </w:pPr>
      <w:r w:rsidRPr="005A3B09">
        <w:rPr>
          <w:b/>
          <w:bCs/>
          <w:sz w:val="27"/>
          <w:szCs w:val="27"/>
        </w:rPr>
        <w:t>2.Цель экспертизы</w:t>
      </w:r>
      <w:r w:rsidRPr="005A3B09">
        <w:rPr>
          <w:sz w:val="27"/>
          <w:szCs w:val="27"/>
        </w:rPr>
        <w:t xml:space="preserve">: финансово-экономическая экспертиза проекта бюджета муниципального образования </w:t>
      </w:r>
      <w:proofErr w:type="spellStart"/>
      <w:r w:rsidRPr="005A3B09">
        <w:rPr>
          <w:sz w:val="27"/>
          <w:szCs w:val="27"/>
        </w:rPr>
        <w:t>Аскизский</w:t>
      </w:r>
      <w:proofErr w:type="spellEnd"/>
      <w:r w:rsidRPr="005A3B09">
        <w:rPr>
          <w:sz w:val="27"/>
          <w:szCs w:val="27"/>
        </w:rPr>
        <w:t xml:space="preserve"> район на 2020 год и на плановый период 2021 и 2022 годов».</w:t>
      </w:r>
    </w:p>
    <w:p w:rsidR="005A3B09" w:rsidRPr="005A3B09" w:rsidRDefault="005A3B09" w:rsidP="005A3B09">
      <w:pPr>
        <w:pStyle w:val="a10"/>
        <w:spacing w:before="0" w:beforeAutospacing="0" w:after="0" w:afterAutospacing="0"/>
        <w:ind w:firstLine="540"/>
        <w:rPr>
          <w:sz w:val="27"/>
          <w:szCs w:val="27"/>
        </w:rPr>
      </w:pPr>
      <w:r w:rsidRPr="005A3B09">
        <w:rPr>
          <w:b/>
          <w:bCs/>
          <w:sz w:val="27"/>
          <w:szCs w:val="27"/>
        </w:rPr>
        <w:t>3.Предмет экспертизы</w:t>
      </w:r>
      <w:r w:rsidRPr="005A3B09">
        <w:rPr>
          <w:sz w:val="27"/>
          <w:szCs w:val="27"/>
        </w:rPr>
        <w:t xml:space="preserve">: Проект решения Совета депутатов </w:t>
      </w:r>
      <w:proofErr w:type="spellStart"/>
      <w:r w:rsidRPr="005A3B09">
        <w:rPr>
          <w:sz w:val="27"/>
          <w:szCs w:val="27"/>
        </w:rPr>
        <w:t>Аскизского</w:t>
      </w:r>
      <w:proofErr w:type="spellEnd"/>
      <w:r w:rsidRPr="005A3B09">
        <w:rPr>
          <w:sz w:val="27"/>
          <w:szCs w:val="27"/>
        </w:rPr>
        <w:t xml:space="preserve"> района «О  бюджете муниципального образования </w:t>
      </w:r>
      <w:proofErr w:type="spellStart"/>
      <w:r w:rsidRPr="005A3B09">
        <w:rPr>
          <w:sz w:val="27"/>
          <w:szCs w:val="27"/>
        </w:rPr>
        <w:t>Аскизский</w:t>
      </w:r>
      <w:proofErr w:type="spellEnd"/>
      <w:r w:rsidRPr="005A3B09">
        <w:rPr>
          <w:sz w:val="27"/>
          <w:szCs w:val="27"/>
        </w:rPr>
        <w:t xml:space="preserve"> район на 2020 год и на плановый период 2021 и 2022 годов»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>4.Содержание.</w:t>
      </w:r>
    </w:p>
    <w:p w:rsidR="005A3B09" w:rsidRPr="005A3B09" w:rsidRDefault="005A3B09" w:rsidP="005A3B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A3B09" w:rsidRPr="005A3B09" w:rsidRDefault="005A3B09" w:rsidP="005A3B0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>1.Общие положения</w:t>
      </w:r>
    </w:p>
    <w:p w:rsidR="005A3B09" w:rsidRPr="005A3B09" w:rsidRDefault="005A3B09" w:rsidP="005A3B0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right="-6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sz w:val="27"/>
          <w:szCs w:val="27"/>
        </w:rPr>
        <w:t xml:space="preserve">Заключение Контрольно-ревизионной комиссии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  Республики Хакасия на проект решения Совета депутатов  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Республики Хакасия "О бюджете  муниципального образования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 Республики Хакасия на 2020 год и на плановый период 2021 и 2022 годов" подготовлено в соответствии с Бюджетным кодексом Российской Федерации, Положением «О бюджетном процессе и межбюджетных отношениях в муниципальном образовании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район», утвержденным решением Совета депутатов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района от 29.05.2008 года  №124-рс, Положением «О Контрольно-ревизионной комиссии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района», утвержденным решением Совета депутатов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от  27.12.2012 года № 93-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рс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>., п.3.9  плана  работы от 29.12.2018 г. №35.</w:t>
      </w:r>
    </w:p>
    <w:p w:rsidR="005A3B09" w:rsidRPr="005A3B09" w:rsidRDefault="005A3B09" w:rsidP="005A3B09">
      <w:pPr>
        <w:pStyle w:val="a8"/>
        <w:spacing w:before="0" w:beforeAutospacing="0" w:after="0" w:afterAutospacing="0"/>
        <w:ind w:right="-5" w:firstLine="540"/>
        <w:jc w:val="both"/>
        <w:rPr>
          <w:sz w:val="27"/>
          <w:szCs w:val="27"/>
        </w:rPr>
      </w:pPr>
      <w:r w:rsidRPr="005A3B09">
        <w:rPr>
          <w:b/>
          <w:bCs/>
          <w:sz w:val="27"/>
          <w:szCs w:val="27"/>
        </w:rPr>
        <w:t xml:space="preserve">     </w:t>
      </w:r>
      <w:proofErr w:type="gramStart"/>
      <w:r w:rsidRPr="005A3B09">
        <w:rPr>
          <w:sz w:val="27"/>
          <w:szCs w:val="27"/>
        </w:rPr>
        <w:t xml:space="preserve">При подготовке заключения на проект решения Совета депутатов   </w:t>
      </w:r>
      <w:proofErr w:type="spellStart"/>
      <w:r w:rsidRPr="005A3B09">
        <w:rPr>
          <w:sz w:val="27"/>
          <w:szCs w:val="27"/>
        </w:rPr>
        <w:t>Аскизского</w:t>
      </w:r>
      <w:proofErr w:type="spellEnd"/>
      <w:r w:rsidRPr="005A3B09">
        <w:rPr>
          <w:sz w:val="27"/>
          <w:szCs w:val="27"/>
        </w:rPr>
        <w:t xml:space="preserve"> района Республики Хакасия "О бюджете  муниципального образования </w:t>
      </w:r>
      <w:proofErr w:type="spellStart"/>
      <w:r w:rsidRPr="005A3B09">
        <w:rPr>
          <w:sz w:val="27"/>
          <w:szCs w:val="27"/>
        </w:rPr>
        <w:t>Аскизский</w:t>
      </w:r>
      <w:proofErr w:type="spellEnd"/>
      <w:r w:rsidRPr="005A3B09">
        <w:rPr>
          <w:sz w:val="27"/>
          <w:szCs w:val="27"/>
        </w:rPr>
        <w:t xml:space="preserve"> район Республики Хакасия </w:t>
      </w:r>
      <w:r w:rsidRPr="005A3B09">
        <w:rPr>
          <w:sz w:val="27"/>
          <w:szCs w:val="27"/>
        </w:rPr>
        <w:lastRenderedPageBreak/>
        <w:t xml:space="preserve">на 2020 год и на плановый период 2021 и 2022 годов"  учтены положения действующего бюджетного и налогового законодательства Российской Федерации, Республики Хакасия, муниципального образования  </w:t>
      </w:r>
      <w:proofErr w:type="spellStart"/>
      <w:r w:rsidRPr="005A3B09">
        <w:rPr>
          <w:sz w:val="27"/>
          <w:szCs w:val="27"/>
        </w:rPr>
        <w:t>Аскизский</w:t>
      </w:r>
      <w:proofErr w:type="spellEnd"/>
      <w:r w:rsidRPr="005A3B09">
        <w:rPr>
          <w:sz w:val="27"/>
          <w:szCs w:val="27"/>
        </w:rPr>
        <w:t xml:space="preserve"> район, проект закона Республики Хакасия «О республиканском бюджете Республики Хакасия на 2020 год и на</w:t>
      </w:r>
      <w:proofErr w:type="gramEnd"/>
      <w:r w:rsidRPr="005A3B09">
        <w:rPr>
          <w:sz w:val="27"/>
          <w:szCs w:val="27"/>
        </w:rPr>
        <w:t xml:space="preserve"> плановый период 2021 и 2022 годов».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sz w:val="27"/>
          <w:szCs w:val="27"/>
        </w:rPr>
        <w:t>Экспертиза соответствия проекта решения, документов и материалов, представленных одновременно с ним, положениям статей 184.1 и 184.2 Бюджетного кодекса Российской Федерации и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A3B09">
        <w:rPr>
          <w:rFonts w:ascii="Times New Roman" w:hAnsi="Times New Roman" w:cs="Times New Roman"/>
          <w:sz w:val="27"/>
          <w:szCs w:val="27"/>
        </w:rPr>
        <w:t xml:space="preserve">статей  Положения «О Контрольно-ревизионной комиссии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района», утвержденным решением Совета депутатов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от  27.12.2012 года № 93-рс показала, что они по своему составу и содержанию соответствуют требованиям вышеуказанных нормативных правовых актов.</w:t>
      </w:r>
      <w:proofErr w:type="gramEnd"/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>Выводы и предложения</w:t>
      </w:r>
    </w:p>
    <w:p w:rsidR="005A3B09" w:rsidRPr="005A3B09" w:rsidRDefault="005A3B09" w:rsidP="005A3B09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right="-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1.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5A3B09">
        <w:rPr>
          <w:rFonts w:ascii="Times New Roman" w:hAnsi="Times New Roman" w:cs="Times New Roman"/>
          <w:sz w:val="27"/>
          <w:szCs w:val="27"/>
        </w:rPr>
        <w:t xml:space="preserve">При подготовке заключения на проект решения Совета депутатов  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Республики Хакасия "О бюджете  муниципального образования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 Республики Хакасия на 2020 год и на плановый период 2021 и 2022 годов"  учтены положения действующего бюджетного и налогового законодательства Российской Федерации, Республики Хакасия, муниципального образования 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район, проект закона Республики Хакасия «О республиканском бюджете Республики Хакасия на 2020 год и на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плановый период 2021 и 2022 годов».</w:t>
      </w:r>
    </w:p>
    <w:p w:rsidR="005A3B09" w:rsidRPr="005A3B09" w:rsidRDefault="005A3B09" w:rsidP="005A3B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2.Проектом решения о районном бюджете на 2020 год и на плановый период 2021 и 2022 годов, доходы бюджета в 2020 году прогнозируются в объеме 1114389,3 тыс. рублей, в 2021 году – 1109851,8 тыс. рублей  и в 2022 году - 1160000,0 тыс. рублей.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Запланированные доходы районного бюджета на 2020 год меньше бюджетных назначений 2019 года на 313696,9 тыс. рублей (темп роста 78,0%). В 2021 году прогнозируется снижение  доходов на 4537,5 тыс. рублей (темп роста 99,6 % к уровню 2020 года). В 2022 году прогнозируется рост  доходов на 50148,2 тыс. рублей (темп роста 104,5 % к уровню 2021 года).   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2.1.Рост налоговых доходов районного бюджета в 2020 году относительно оценки поступлений 2019 года прогнозируется, в основном за счет увеличения поступлений по налогу на доходы физических лиц на 195427,8 тыс. рублей (на 481,2%). При одновременном снижении поступлений по таким доходным источникам, как акцизы по подакцизным товарам (продукции), производимым на территории Российской Федерации, налог, взимаемый в связи с применением </w:t>
      </w:r>
      <w:r w:rsidRPr="005A3B09">
        <w:rPr>
          <w:rFonts w:ascii="Times New Roman" w:hAnsi="Times New Roman" w:cs="Times New Roman"/>
          <w:sz w:val="27"/>
          <w:szCs w:val="27"/>
        </w:rPr>
        <w:lastRenderedPageBreak/>
        <w:t>патентной системы налогообложения, единый налог на вмененный доход для отдельных видов деятельности.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2.2.В проекте районного бюджета предусмотрены поступления налога в 2020 году по дополнительным нормативам отчислений от налога на доходы физических лиц взамен дотаций на выравнивание бюджетной обеспеченности муниципального района, что по сравнению с бюджетными назначениями 2019 года выше на 195427,8 тыс. рублей (581,2%). Увеличение в 2021 году планируется на 12960,0 тыс. рублей (105,7%), в 2022 году - на 9960,0 тыс. рублей (104,0%).</w:t>
      </w:r>
    </w:p>
    <w:p w:rsidR="005A3B09" w:rsidRPr="005A3B09" w:rsidRDefault="005A3B09" w:rsidP="005A3B0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proofErr w:type="gramStart"/>
      <w:r w:rsidRPr="005A3B09">
        <w:rPr>
          <w:sz w:val="27"/>
          <w:szCs w:val="27"/>
        </w:rPr>
        <w:t xml:space="preserve">2.3.В соответствии со ст.12 проекта Закона Республики Хакасия «О республиканском бюджете Республики Хакасия на 2020 год и плановый период 2021 и 2022 годов», расчетные дотации на выравнивание бюджетной обеспеченности муниципальных районов и городских округов Республики Хакасия частично заменяются дополнительными нормативами отчислений в бюджеты муниципальных районов и городских округов Республики Хакасия от налога на доходы физических лиц. </w:t>
      </w:r>
      <w:proofErr w:type="gramEnd"/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 xml:space="preserve">  Дополнительные нормативы отчислений в бюджет муниципального образования </w:t>
      </w:r>
      <w:proofErr w:type="spellStart"/>
      <w:r w:rsidRPr="005A3B09">
        <w:rPr>
          <w:sz w:val="27"/>
          <w:szCs w:val="27"/>
        </w:rPr>
        <w:t>Аскизский</w:t>
      </w:r>
      <w:proofErr w:type="spellEnd"/>
      <w:r w:rsidRPr="005A3B09">
        <w:rPr>
          <w:sz w:val="27"/>
          <w:szCs w:val="27"/>
        </w:rPr>
        <w:t xml:space="preserve"> район от налога на доходы физических лиц, подлежащего зачислению в бюджеты субъектов Российской Федерации в соответствии с законодательством Российской Федерации, на 2020 год и на плановый период 2021 и 2022 годов установлены в размере  50,0%  на каждый год (приложением №18  к законопроекту).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> 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 xml:space="preserve">Ожидаемое поступление НДФЛ в 2019 году составило в сумме 35112,0 тыс. рублей. 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center"/>
        <w:rPr>
          <w:sz w:val="27"/>
          <w:szCs w:val="27"/>
        </w:rPr>
      </w:pPr>
      <w:r w:rsidRPr="005A3B09">
        <w:rPr>
          <w:sz w:val="27"/>
          <w:szCs w:val="27"/>
        </w:rPr>
        <w:t xml:space="preserve">Прогноз поступления доходов от НДФЛ на 2020-2022 годы 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>                                                                                                                       Тыс. руб.</w:t>
      </w:r>
    </w:p>
    <w:tbl>
      <w:tblPr>
        <w:tblW w:w="0" w:type="auto"/>
        <w:tblInd w:w="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044"/>
        <w:gridCol w:w="3240"/>
      </w:tblGrid>
      <w:tr w:rsidR="005A3B09" w:rsidRPr="005A3B09" w:rsidTr="005A3B09">
        <w:trPr>
          <w:trHeight w:val="359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center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Показатели поступления по НДФЛ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center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Сумма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-83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В том числе сумма НДФЛ по доп. нормативу (50,0%)</w:t>
            </w:r>
          </w:p>
        </w:tc>
      </w:tr>
      <w:tr w:rsidR="005A3B09" w:rsidRPr="005A3B09" w:rsidTr="005A3B09">
        <w:trPr>
          <w:trHeight w:val="349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Прогноз на 2020 год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236040,0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195250,0</w:t>
            </w:r>
          </w:p>
        </w:tc>
      </w:tr>
      <w:tr w:rsidR="005A3B09" w:rsidRPr="005A3B09" w:rsidTr="005A3B09">
        <w:trPr>
          <w:trHeight w:val="193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Прогноз на 2020 год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249000,0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205403,0</w:t>
            </w:r>
          </w:p>
        </w:tc>
      </w:tr>
      <w:tr w:rsidR="005A3B09" w:rsidRPr="005A3B09" w:rsidTr="005A3B09">
        <w:trPr>
          <w:trHeight w:val="193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Прогноз на 2020 год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258960,0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213311,0</w:t>
            </w:r>
          </w:p>
        </w:tc>
      </w:tr>
    </w:tbl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5A3B09">
        <w:rPr>
          <w:rFonts w:ascii="Times New Roman" w:hAnsi="Times New Roman" w:cs="Times New Roman"/>
          <w:sz w:val="27"/>
          <w:szCs w:val="27"/>
        </w:rPr>
        <w:t>2.4.Неналоговые доходы в проекте районного бюджета  на 2020-2022 годы составят 2,9%, 3,0% и 3,0% от общей суммы доходов и планируются в 2020 году в объеме 32600,3 тыс. рублей, что меньше бюджетных назначений 2019 года на 7402,7 тыс. рублей (на 18,5%) В 2021 году планируется незначительное увеличение доходов на 1226,7 тыс. рублей (на 3,8%), в 2022 году - увеличение  доходов по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сравнению с бюджетными назначениями  2021 года на 1275,2 тыс. рублей (на 3,8%),  которые составят </w:t>
      </w:r>
      <w:r w:rsidRPr="005A3B09">
        <w:rPr>
          <w:rFonts w:ascii="Times New Roman" w:hAnsi="Times New Roman" w:cs="Times New Roman"/>
          <w:color w:val="000000"/>
          <w:sz w:val="27"/>
          <w:szCs w:val="27"/>
        </w:rPr>
        <w:t xml:space="preserve">33827,0 </w:t>
      </w:r>
      <w:r w:rsidRPr="005A3B09">
        <w:rPr>
          <w:rFonts w:ascii="Times New Roman" w:hAnsi="Times New Roman" w:cs="Times New Roman"/>
          <w:sz w:val="27"/>
          <w:szCs w:val="27"/>
        </w:rPr>
        <w:t xml:space="preserve">тыс. рублей и </w:t>
      </w:r>
      <w:r w:rsidRPr="005A3B09">
        <w:rPr>
          <w:rFonts w:ascii="Times New Roman" w:hAnsi="Times New Roman" w:cs="Times New Roman"/>
          <w:color w:val="000000"/>
          <w:sz w:val="27"/>
          <w:szCs w:val="27"/>
        </w:rPr>
        <w:t xml:space="preserve">35102,2 </w:t>
      </w:r>
      <w:r w:rsidRPr="005A3B09">
        <w:rPr>
          <w:rFonts w:ascii="Times New Roman" w:hAnsi="Times New Roman" w:cs="Times New Roman"/>
          <w:sz w:val="27"/>
          <w:szCs w:val="27"/>
        </w:rPr>
        <w:t>тыс. рублей соответственно.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sz w:val="27"/>
          <w:szCs w:val="27"/>
        </w:rPr>
        <w:lastRenderedPageBreak/>
        <w:t>В структуре неналоговых доходов в 2020 году основную долю займут доходы от использования имущества, находящегося в государственной и муниципальной собственности (93,4%), штрафы, санкции, возмещение ущерба (0,3%), доходы от продажи материальных и нематериальных активов (4,3%), платежи при пользовании природными ресурсами (0,4%), доходы от оказания платных услуг (работ) и компенсации затрат государства (1,6%).</w:t>
      </w:r>
      <w:proofErr w:type="gramEnd"/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sz w:val="27"/>
          <w:szCs w:val="27"/>
        </w:rPr>
        <w:t>Неналоговые доходы в проекте районного бюджета  на 2020-2022 годы составят 2,9%, 3,0% и 3,0% от общей суммы доходов и планируются в 2020 году в объеме 32600,3 тыс. рублей, что меньше бюджетных назначений 2019 года на 7402,7 тыс. рублей (на 18,5%) В 2021 году планируется незначительное увеличение доходов на 1226,7 тыс. рублей (на 3,8%), в 2022 году - увеличение  доходов по сравнению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с бюджетными назначениями  2021 года на 1275,2 тыс. рублей (на 3,8%),  которые составят </w:t>
      </w:r>
      <w:r w:rsidRPr="005A3B09">
        <w:rPr>
          <w:rFonts w:ascii="Times New Roman" w:hAnsi="Times New Roman" w:cs="Times New Roman"/>
          <w:color w:val="000000"/>
          <w:sz w:val="27"/>
          <w:szCs w:val="27"/>
        </w:rPr>
        <w:t xml:space="preserve">33827,0 </w:t>
      </w:r>
      <w:r w:rsidRPr="005A3B09">
        <w:rPr>
          <w:rFonts w:ascii="Times New Roman" w:hAnsi="Times New Roman" w:cs="Times New Roman"/>
          <w:sz w:val="27"/>
          <w:szCs w:val="27"/>
        </w:rPr>
        <w:t xml:space="preserve">тыс. рублей и </w:t>
      </w:r>
      <w:r w:rsidRPr="005A3B09">
        <w:rPr>
          <w:rFonts w:ascii="Times New Roman" w:hAnsi="Times New Roman" w:cs="Times New Roman"/>
          <w:color w:val="000000"/>
          <w:sz w:val="27"/>
          <w:szCs w:val="27"/>
        </w:rPr>
        <w:t xml:space="preserve">35102,2 </w:t>
      </w:r>
      <w:r w:rsidRPr="005A3B09">
        <w:rPr>
          <w:rFonts w:ascii="Times New Roman" w:hAnsi="Times New Roman" w:cs="Times New Roman"/>
          <w:sz w:val="27"/>
          <w:szCs w:val="27"/>
        </w:rPr>
        <w:t>тыс. рублей соответственно.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 xml:space="preserve">В 2020 году снижение неналоговых доходов по сравнению с бюджетными назначениями 2019 года планируется по четырем видам доходов на общую сумму 7421,7 тыс. рублей, увеличение – на сумму 19,0 тыс. рублей по доходам от оказания платных услуг (работ) и компенсации затрат государства. </w:t>
      </w:r>
    </w:p>
    <w:p w:rsidR="005A3B09" w:rsidRPr="005A3B09" w:rsidRDefault="005A3B09" w:rsidP="005A3B09">
      <w:pPr>
        <w:spacing w:after="0"/>
        <w:ind w:right="-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Как и в предыдущие годы, основную долю займут доходы от использования имущества, находящегося в муниципальной собственности  – 93,3% от общей суммы неналоговых доходов районного бюджета на 2020 год.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2.5. Районный бюджет в 2020-2022 годах, как и в 2019 году, в значительной мере (на 74,6%, 73,6%, 73,9% соответственно) сформированы за счет безвозмездных поступлений из республиканского бюджета Республики Хакасия.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В составе безвозмездных поступлений от других бюджетов бюджетной системы Российской Федерации в районный бюджет на 2020 год и плановый период 2021 и 2022 годов планируются  дотации районному бюджету на выравнивание бюджетной обеспеченности, субсидии на 2020 год, субвенции.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b/>
          <w:bCs/>
          <w:sz w:val="27"/>
          <w:szCs w:val="27"/>
        </w:rPr>
        <w:t>Дотации</w:t>
      </w:r>
      <w:r w:rsidRPr="005A3B09">
        <w:rPr>
          <w:rFonts w:ascii="Times New Roman" w:hAnsi="Times New Roman" w:cs="Times New Roman"/>
          <w:sz w:val="27"/>
          <w:szCs w:val="27"/>
        </w:rPr>
        <w:t xml:space="preserve"> на 2020 год планируются на выравнивание бюджетной обеспеченности в сумме 68987,0 тыс. рублей, что в 3,4 раза (на 166812,0 тыс. рублей) ниже бюджетных назначений 2019 года, на 2021 год – 52352,0 тыс. рублей, что на 16635,0 тыс. рублей (на 24,1%) ниже 2020 года, на 2022 год – 20948,0 тыс. рублей, что на 31404,0 тыс. рублей (на 60,0%) ниже 2021 года:</w:t>
      </w:r>
      <w:proofErr w:type="gramEnd"/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-на 2020 год –  68987,0 тыс. рублей;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-на 2021 год –  52352,0 тыс. рублей;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-на 2022 год –  20948,0 тыс. рублей.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b/>
          <w:bCs/>
          <w:sz w:val="27"/>
          <w:szCs w:val="27"/>
        </w:rPr>
        <w:t xml:space="preserve">Субсидии </w:t>
      </w:r>
      <w:r w:rsidRPr="005A3B09">
        <w:rPr>
          <w:rFonts w:ascii="Times New Roman" w:hAnsi="Times New Roman" w:cs="Times New Roman"/>
          <w:sz w:val="27"/>
          <w:szCs w:val="27"/>
        </w:rPr>
        <w:t xml:space="preserve"> районному бюджету  на 2020 год предусмотрены в соответствии с Постановлением Правительства Республики Хакасия от 11.03.2019 № 60 «Об утверждении распределения субсидий из республиканского бюджета Республики Хакасия муниципальным образованиям Республики Хакасия на </w:t>
      </w:r>
      <w:r w:rsidRPr="005A3B09">
        <w:rPr>
          <w:rFonts w:ascii="Times New Roman" w:hAnsi="Times New Roman" w:cs="Times New Roman"/>
          <w:sz w:val="27"/>
          <w:szCs w:val="27"/>
        </w:rPr>
        <w:lastRenderedPageBreak/>
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на 2019-2020 годы», назначены в сумме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76134,2 тыс. рублей.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На 2020 год в доходах районного бюджета планируется 14 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>субвенций</w:t>
      </w:r>
      <w:r w:rsidRPr="005A3B09">
        <w:rPr>
          <w:rFonts w:ascii="Times New Roman" w:hAnsi="Times New Roman" w:cs="Times New Roman"/>
          <w:sz w:val="27"/>
          <w:szCs w:val="27"/>
        </w:rPr>
        <w:t xml:space="preserve"> на сумму 685873,0  тыс. рублей, что меньше бюджетных назначений 2019 года на 134404,0 тыс. рублей или на 16,4%.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В структуре безвозмездных поступлений из республиканского бюджета в 2020 году наибольший удельный вес занимают субвенции – 82,5% (в 2019 году-61,6%),  дотации - 8,3% (в 2019 году- 25,2%), субсидии (межбюджетные субсидии) – 9,2% (в 2019 году – 12,3%). 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sz w:val="27"/>
          <w:szCs w:val="27"/>
        </w:rPr>
        <w:t xml:space="preserve">3.Подходы к расчету прогнозируемого объема доходов районного бюджета в целом обоснованы и базируются на прогнозных данных администраторов доходов районного бюджета, данных предварительного прогноза социально-экономического развития муниципального образования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 на 2020 год и на плановый период 2021-2022 годов, изменениях бюджетного и налогового законодательств с учетом мероприятий по росту доходов, оптимизации расходов и сокращению  муниципального долга. </w:t>
      </w:r>
      <w:proofErr w:type="gramEnd"/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Вместе с тем, существуют резервы дополнительного поступления доходов в районный бюджет за счет улучшения качества администрирования доходов и сокращения задолженности по  неналоговым доходам. 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Также требуется корректировка доходов районного бюджета по безвозмездным поступлениям в части субсидий, субвенций и иных межбюджетных трансфертов.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4. Проектом решения о бюджете на 2020 год и  на плановый период 2021 и 2022 годов  предлагается утвердить расходы на 2020 год  в сумме 1118489,3 тыс. рублей, что ниже бюджетных назначений 2019 года 316244,2 тыс. рублей</w:t>
      </w:r>
      <w:r w:rsidRPr="005A3B09">
        <w:rPr>
          <w:rFonts w:ascii="Times New Roman" w:hAnsi="Times New Roman" w:cs="Times New Roman"/>
          <w:i/>
          <w:iCs/>
          <w:sz w:val="27"/>
          <w:szCs w:val="27"/>
        </w:rPr>
        <w:t xml:space="preserve">  </w:t>
      </w:r>
      <w:r w:rsidRPr="005A3B09">
        <w:rPr>
          <w:rFonts w:ascii="Times New Roman" w:hAnsi="Times New Roman" w:cs="Times New Roman"/>
          <w:sz w:val="27"/>
          <w:szCs w:val="27"/>
        </w:rPr>
        <w:t>(темп снижения -22,0%).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Уменьшение расходов к предыдущему году составит в 2021 году 4638,1 тыс. рублей (темп снижения 0,4%). Увеличение расходов в  2022 году по сравнению с 2021 годом на  50248,8 тыс. рублей (темп прироста 4,5%).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4.1.Объем условно утвержденных расходов определен на 2021 год в сумме 8728,0 тыс. рублей, доля в общих расходах составила  0,8%, на 2022 год в сумме 16375,6 тыс. рублей, доля  составила 1,4% от общего объема расходов бюджета  муниципального образования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район, что соответствует требованиям статьи 184.1 Бюджетного Кодекса Российской Федерации.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pStyle w:val="6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 xml:space="preserve">4.2.Расходы по проекту бюджета муниципального образования </w:t>
      </w:r>
      <w:proofErr w:type="spellStart"/>
      <w:r w:rsidRPr="005A3B09">
        <w:rPr>
          <w:sz w:val="27"/>
          <w:szCs w:val="27"/>
        </w:rPr>
        <w:t>Аскизский</w:t>
      </w:r>
      <w:proofErr w:type="spellEnd"/>
      <w:r w:rsidRPr="005A3B09">
        <w:rPr>
          <w:sz w:val="27"/>
          <w:szCs w:val="27"/>
        </w:rPr>
        <w:t xml:space="preserve"> район на 2020 год и плановый период 2021 и 2022 годов рассчитывались в </w:t>
      </w:r>
      <w:r w:rsidRPr="005A3B09">
        <w:rPr>
          <w:sz w:val="27"/>
          <w:szCs w:val="27"/>
        </w:rPr>
        <w:lastRenderedPageBreak/>
        <w:t>соответствии с действующим законодательством Российской Федерации и Республики Хакасия и с учетом разграничения расходных полномочий.</w:t>
      </w:r>
    </w:p>
    <w:p w:rsidR="005A3B09" w:rsidRPr="005A3B09" w:rsidRDefault="005A3B09" w:rsidP="005A3B09">
      <w:pPr>
        <w:pStyle w:val="6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>При формировании расходной части проекта бюджета использовались основные показатели сети, штатов и контингентов районных и поселенческих учреждений.</w:t>
      </w:r>
    </w:p>
    <w:p w:rsidR="005A3B09" w:rsidRPr="005A3B09" w:rsidRDefault="005A3B09" w:rsidP="005A3B09">
      <w:pPr>
        <w:pStyle w:val="6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A3B09">
        <w:rPr>
          <w:b/>
          <w:bCs/>
          <w:sz w:val="27"/>
          <w:szCs w:val="27"/>
        </w:rPr>
        <w:t xml:space="preserve">Согласно пояснительной записке к проекту районного бюджет Совета депутатов </w:t>
      </w:r>
      <w:proofErr w:type="spellStart"/>
      <w:r w:rsidRPr="005A3B09">
        <w:rPr>
          <w:b/>
          <w:bCs/>
          <w:sz w:val="27"/>
          <w:szCs w:val="27"/>
        </w:rPr>
        <w:t>Аскизского</w:t>
      </w:r>
      <w:proofErr w:type="spellEnd"/>
      <w:r w:rsidRPr="005A3B09">
        <w:rPr>
          <w:b/>
          <w:bCs/>
          <w:sz w:val="27"/>
          <w:szCs w:val="27"/>
        </w:rPr>
        <w:t xml:space="preserve"> района, при формировании проекта бюджета, расходы рассчитаны на 7,3  месяца, без учета ожидаемой  кредиторской  задолженности  на 01.01.2020 года. Недостаток средств бюджета муниципального образования </w:t>
      </w:r>
      <w:proofErr w:type="spellStart"/>
      <w:r w:rsidRPr="005A3B09">
        <w:rPr>
          <w:b/>
          <w:bCs/>
          <w:sz w:val="27"/>
          <w:szCs w:val="27"/>
        </w:rPr>
        <w:t>Аскизский</w:t>
      </w:r>
      <w:proofErr w:type="spellEnd"/>
      <w:r w:rsidRPr="005A3B09">
        <w:rPr>
          <w:b/>
          <w:bCs/>
          <w:sz w:val="27"/>
          <w:szCs w:val="27"/>
        </w:rPr>
        <w:t xml:space="preserve"> район на 2020 год для выполнения муниципальным образованием своих полномочий по решению вопросов местного значения  составляет 344675,5 тыс. рублей (не предусмотренные расходы в сумме 191710 тыс. рублей, ожидаемая кредиторская задолженность на 01.01.2020 года в сумме 152965,5 </w:t>
      </w:r>
      <w:proofErr w:type="spellStart"/>
      <w:r w:rsidRPr="005A3B09">
        <w:rPr>
          <w:b/>
          <w:bCs/>
          <w:sz w:val="27"/>
          <w:szCs w:val="27"/>
        </w:rPr>
        <w:t>тыс</w:t>
      </w:r>
      <w:proofErr w:type="gramStart"/>
      <w:r w:rsidRPr="005A3B09">
        <w:rPr>
          <w:b/>
          <w:bCs/>
          <w:sz w:val="27"/>
          <w:szCs w:val="27"/>
        </w:rPr>
        <w:t>.р</w:t>
      </w:r>
      <w:proofErr w:type="gramEnd"/>
      <w:r w:rsidRPr="005A3B09">
        <w:rPr>
          <w:b/>
          <w:bCs/>
          <w:sz w:val="27"/>
          <w:szCs w:val="27"/>
        </w:rPr>
        <w:t>ублей</w:t>
      </w:r>
      <w:proofErr w:type="spellEnd"/>
      <w:r w:rsidRPr="005A3B09">
        <w:rPr>
          <w:b/>
          <w:bCs/>
          <w:sz w:val="27"/>
          <w:szCs w:val="27"/>
        </w:rPr>
        <w:t xml:space="preserve">).   </w:t>
      </w:r>
    </w:p>
    <w:p w:rsidR="005A3B09" w:rsidRPr="005A3B09" w:rsidRDefault="005A3B09" w:rsidP="005A3B09">
      <w:pPr>
        <w:pStyle w:val="6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A3B09">
        <w:rPr>
          <w:b/>
          <w:bCs/>
          <w:sz w:val="27"/>
          <w:szCs w:val="27"/>
        </w:rPr>
        <w:t> </w:t>
      </w:r>
    </w:p>
    <w:p w:rsidR="005A3B09" w:rsidRPr="005A3B09" w:rsidRDefault="005A3B09" w:rsidP="005A3B09">
      <w:pPr>
        <w:pStyle w:val="6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>При</w:t>
      </w:r>
      <w:r w:rsidRPr="005A3B09">
        <w:rPr>
          <w:i/>
          <w:iCs/>
          <w:sz w:val="27"/>
          <w:szCs w:val="27"/>
        </w:rPr>
        <w:t xml:space="preserve"> </w:t>
      </w:r>
      <w:r w:rsidRPr="005A3B09">
        <w:rPr>
          <w:sz w:val="27"/>
          <w:szCs w:val="27"/>
        </w:rPr>
        <w:t xml:space="preserve">формировании расходной части бюджета бюджетные ассигнования на обеспечение деятельности муниципальных учреждений в сфере образования и культуры для выполнения муниципальным образованием своих полномочий по решению вопросов местного значения предусмотрены в муниципальных программах </w:t>
      </w:r>
      <w:proofErr w:type="spellStart"/>
      <w:r w:rsidRPr="005A3B09">
        <w:rPr>
          <w:sz w:val="27"/>
          <w:szCs w:val="27"/>
        </w:rPr>
        <w:t>Аскизского</w:t>
      </w:r>
      <w:proofErr w:type="spellEnd"/>
      <w:r w:rsidRPr="005A3B09">
        <w:rPr>
          <w:sz w:val="27"/>
          <w:szCs w:val="27"/>
        </w:rPr>
        <w:t xml:space="preserve"> района на 2020 год.</w:t>
      </w:r>
    </w:p>
    <w:p w:rsidR="005A3B09" w:rsidRPr="005A3B09" w:rsidRDefault="005A3B09" w:rsidP="005A3B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4.3.Проектом  решения на 2020 - 2022 годы предусмотрены к исполнению:</w:t>
      </w:r>
    </w:p>
    <w:p w:rsidR="005A3B09" w:rsidRPr="005A3B09" w:rsidRDefault="005A3B09" w:rsidP="005A3B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В 2020 году 27   муниципальных  программ  в сумме   957812,6 тыс. рублей,  в 2021 году  одна программа  550,0 тыс. рублей  и  2022 году программы не предусмотрены. </w:t>
      </w:r>
    </w:p>
    <w:p w:rsidR="005A3B09" w:rsidRPr="005A3B09" w:rsidRDefault="005A3B09" w:rsidP="005A3B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Контрольно-ревизионной комиссией проведена проверка 27  паспортов  программ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5A3B09">
        <w:rPr>
          <w:rFonts w:ascii="Times New Roman" w:hAnsi="Times New Roman" w:cs="Times New Roman"/>
          <w:sz w:val="27"/>
          <w:szCs w:val="27"/>
        </w:rPr>
        <w:t xml:space="preserve">При формировании программных расходов сохраняются социальные приоритеты, основной объем составляют расходы на реализацию программ в сфере образования, и социальной политики. 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По сравнению с запланированными назначениями 2019 года объем средств бюджета на реализацию программных расходов в 2020 году уменьшился на 273143,4 тыс. рублей (на 22,2%) и составил 85,6% от общей суммы расходов бюджета. В период 2021-2022 годов удельный вес программных расходов  составит </w:t>
      </w:r>
      <w:r w:rsidRPr="005A3B09">
        <w:rPr>
          <w:rFonts w:ascii="Times New Roman" w:hAnsi="Times New Roman" w:cs="Times New Roman"/>
          <w:color w:val="000000"/>
          <w:sz w:val="27"/>
          <w:szCs w:val="27"/>
        </w:rPr>
        <w:t>0,04%, 0,0%</w:t>
      </w:r>
      <w:r w:rsidRPr="005A3B09">
        <w:rPr>
          <w:rFonts w:ascii="Times New Roman" w:hAnsi="Times New Roman" w:cs="Times New Roman"/>
          <w:sz w:val="27"/>
          <w:szCs w:val="27"/>
        </w:rPr>
        <w:t xml:space="preserve"> 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В соответствии с пунктом 2 статьи 172 Бюджетного кодекса Российской Федерации составление проектов бюджетов основывается, в том числе на муниципальных программах.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4.4. В общем  объеме  распределенных расходов бюджета непрограммные  расходы  составят в 2020 году 160676,7 тыс. рублей, или 14,4%, в 2021 году  –  1104573,2 тыс. рублей, или 99,9% и в 2022 году –1147724,4 тыс. рублей, или 100,0% 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lastRenderedPageBreak/>
        <w:t>В соответствии с проектом решения  бюджетные ассигнования на осуществление непрограммных направлений деятельности предусмотрены на 2020 год по 5-ми направлениям.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Увеличение непрограммных расходов в 2021 и 2022 годах произошло </w:t>
      </w:r>
      <w:proofErr w:type="gramStart"/>
      <w:r w:rsidRPr="005A3B09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5A3B09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>  того,  что на эти года муниципальные программы  не запланированы.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4.5. В  соответствии  с  пунктом  3  статьи  184</w:t>
      </w:r>
      <w:r w:rsidRPr="005A3B09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5A3B09">
        <w:rPr>
          <w:rFonts w:ascii="Times New Roman" w:hAnsi="Times New Roman" w:cs="Times New Roman"/>
          <w:sz w:val="27"/>
          <w:szCs w:val="27"/>
        </w:rPr>
        <w:t>  Бюджетного  кодекса  Российской Федерации частью 1 статьи 4 проекта решения предусматриваются бюджетные ассигнования на исполнение публичных нормативных обязательств на 2020 год – в объеме 46974,6 тыс. рублей, на 2021 год –48497,6 тыс. рублей и на 2022 год – в объеме 50082,6 тыс. рублей.</w:t>
      </w:r>
    </w:p>
    <w:p w:rsidR="005A3B09" w:rsidRPr="005A3B09" w:rsidRDefault="005A3B09" w:rsidP="005A3B0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В структуре общих распределенных расходов районного бюджета указанные расходные обязательства составят: в 2020 году  4,2%, в 2021 году  4,4% и в 2022 году  4,3% (в 2019 году  3,4%).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sz w:val="27"/>
          <w:szCs w:val="27"/>
        </w:rPr>
        <w:t xml:space="preserve">4.6.Согласно статье 5 проекта решения бюджета  муниципального образования, бюджетные ассигнования дорожного фонда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на 2020 год установлены в объеме 2347,10 тыс. рублей, что на 149,7 тыс. рублей ниже утвержденных ассигнований 2019 года (2496,8 тыс. рублей), на 2021 год  и 2022 годы  на уровне 2020 года в суммах  2347,10  </w:t>
      </w:r>
      <w:r w:rsidRPr="005A3B09">
        <w:rPr>
          <w:rFonts w:ascii="Times New Roman" w:hAnsi="Times New Roman" w:cs="Times New Roman"/>
          <w:color w:val="000000"/>
          <w:sz w:val="27"/>
          <w:szCs w:val="27"/>
        </w:rPr>
        <w:t>тыс. рублей.</w:t>
      </w:r>
      <w:proofErr w:type="gramEnd"/>
    </w:p>
    <w:p w:rsidR="005A3B09" w:rsidRPr="005A3B09" w:rsidRDefault="005A3B09" w:rsidP="005A3B09">
      <w:pPr>
        <w:spacing w:after="0"/>
        <w:ind w:right="-1" w:firstLine="540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Бюджетные ассигнования дорожного фонда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A3B09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предусмотрены по разделу, подразделу классификации расходов бюджета - 0409 «Дорожное хозяйство (дорожные фонды)». По подразделу 0409 «Дорожное хозяйство (дорожные фонды)» проектом решения  на 2020 год предусмотрены расходы в объеме 2550,1 тыс. рублей в 2019 году 2809,4  (снижение на 259,3 тыс. рублей или 9,2 % к уровню прошлого года), на 2021 год и 2022 годы  по 2550,1 тыс. рублей  на уровне 2020 года.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100,0% объема средств дорожного фонда в период 2020-2022 годов планируется в рамках  МП  "Совершенствование и развитие автомобильных дорог муниципального образования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 на 2017-2020 годы" по 2550,1 тыс. рублей на каждый год на мероприятия по совершенствованию и развитию автомобильных дорог.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4.7.Согласно ст. 10 проекта решения  в составе  расходов районного  бюджета утвержден объем  межбюджетных трансфертов на общую в 2020 году  сумму 67762,0 тыс. рублей, в 2021 году –67262,0 тыс. рублей, в 2022 году –67262,0 тыс. рублей. 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Объем межбюджетных трансфертов поселениям в 2020-2022 годы снижается, в 2020 году составит 67262,0 тыс. рублей, по сравнению  с 2019 годом (70415,0 тыс. рублей) снижение на 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5A3B09">
        <w:rPr>
          <w:rFonts w:ascii="Times New Roman" w:hAnsi="Times New Roman" w:cs="Times New Roman"/>
          <w:sz w:val="27"/>
          <w:szCs w:val="27"/>
        </w:rPr>
        <w:t>3153,0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A3B09">
        <w:rPr>
          <w:rFonts w:ascii="Times New Roman" w:hAnsi="Times New Roman" w:cs="Times New Roman"/>
          <w:sz w:val="27"/>
          <w:szCs w:val="27"/>
        </w:rPr>
        <w:t xml:space="preserve">тыс. рублей, или в 0,9%. 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5A3B09">
        <w:rPr>
          <w:rFonts w:ascii="Times New Roman" w:hAnsi="Times New Roman" w:cs="Times New Roman"/>
          <w:sz w:val="27"/>
          <w:szCs w:val="27"/>
        </w:rPr>
        <w:t>Дефицита бюджета  муниципального образования на 2020 год прогнозируется  в размере составит 4100,0 тыс. рублей,</w:t>
      </w:r>
      <w:r w:rsidRPr="005A3B09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5A3B09">
        <w:rPr>
          <w:rFonts w:ascii="Times New Roman" w:hAnsi="Times New Roman" w:cs="Times New Roman"/>
          <w:sz w:val="27"/>
          <w:szCs w:val="27"/>
        </w:rPr>
        <w:t>или 4,7 %</w:t>
      </w:r>
      <w:r w:rsidRPr="005A3B09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5A3B09">
        <w:rPr>
          <w:rFonts w:ascii="Times New Roman" w:hAnsi="Times New Roman" w:cs="Times New Roman"/>
          <w:sz w:val="27"/>
          <w:szCs w:val="27"/>
        </w:rPr>
        <w:t xml:space="preserve">объемов </w:t>
      </w:r>
      <w:r w:rsidRPr="005A3B09">
        <w:rPr>
          <w:rFonts w:ascii="Times New Roman" w:hAnsi="Times New Roman" w:cs="Times New Roman"/>
          <w:sz w:val="27"/>
          <w:szCs w:val="27"/>
        </w:rPr>
        <w:lastRenderedPageBreak/>
        <w:t>доходов  бюджета муниципального образования  без учета объема безвозмездных поступлений и поступлений налоговых доходов по дополнительным нормативам отчислений, на 2021 год - 4100,0 тыс. рублей или 4,7%, на 2022 год -  4100,0 тыс. рублей или 4,6%, что не  превышают предельные значения по дефициту, установленные пунктом 3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статьи 92.1 Бюджетного кодекса Российской Федерации (не превышать 5%).</w:t>
      </w:r>
    </w:p>
    <w:p w:rsidR="005A3B09" w:rsidRPr="005A3B09" w:rsidRDefault="005A3B09" w:rsidP="005A3B09">
      <w:pPr>
        <w:spacing w:after="0"/>
        <w:ind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Предельные значения по дефициту районного</w:t>
      </w:r>
      <w:r w:rsidRPr="005A3B0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A3B09">
        <w:rPr>
          <w:rFonts w:ascii="Times New Roman" w:hAnsi="Times New Roman" w:cs="Times New Roman"/>
          <w:sz w:val="27"/>
          <w:szCs w:val="27"/>
        </w:rPr>
        <w:t>бюджета в проекте решения о бюджете муниципального образования на 2020-2022 годы соблюдены.</w:t>
      </w:r>
    </w:p>
    <w:p w:rsidR="005A3B09" w:rsidRPr="005A3B09" w:rsidRDefault="005A3B09" w:rsidP="005A3B09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A3B09">
        <w:rPr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6.Предельный объем внутреннего долга муниципального образования на 2020 год запланирован в объеме 44072,5 тыс. рублей, на 2021 год - 43694,9 тыс. рублей, на 2022 год – 44576,5 тыс. рублей. 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3B09">
        <w:rPr>
          <w:rFonts w:ascii="Times New Roman" w:hAnsi="Times New Roman" w:cs="Times New Roman"/>
          <w:sz w:val="27"/>
          <w:szCs w:val="27"/>
        </w:rPr>
        <w:t>Планируемые показатели на 2020 – 2022 годы не превышают предельные значения муниципального долга (50 процентов) запланированного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(88145,0 тыс. рублей; 87389,8 тыс. рублей; 89153,0 тыс. рублей) что соответствует пункту 3 статьи 107 Бюджетного кодекса Российской Федерации.</w:t>
      </w:r>
      <w:proofErr w:type="gramEnd"/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7.Верхний предел муниципального внутреннего долга муниципального образования прогнозируется с уменьшением с 44072,5 тыс. рублей на 01.01.2021 года до 12200,0 тыс. рублей на 01.01.2023 (на 31872,5 тыс. рублей, или </w:t>
      </w:r>
      <w:proofErr w:type="gramStart"/>
      <w:r w:rsidRPr="005A3B09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 xml:space="preserve"> 27,7%).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8.Бюджетные ассигнования районного бюджета на обслуживание муниципального долга в 2020-2022 годах прогнозируются  по 120,0 тыс. рублей на каждый год (0,1%), что не превышает предельные объемы, установленные статьей 111 Бюджетного кодекса Российской Федерации (не более 15%).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9.При рассмотрении проекта решения  о бюджете  муниципального образования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 на 2020 год и на плановый период 2021 и 2022 годов  необходимо  учесть: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-запланированные налоговые и неналоговые доходы на 2020-2022 годы соответствуют прогнозным данным администраторов доходов;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- дотации на выравнивание бюджетной обеспеченности на 2020 год планируются в сумме 68987,0 тыс. рублей, что в 3,4 раза ниже (на 166812,0 тыс. рублей) бюджетных назначений 2019 года: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-на 2019 год – 235799,0 тыс. рублей;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-на 2020 год –   68987,0 тыс. рублей;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-на 2021 год –   52352,0 тыс. рублей;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-на 2022 год –   20948,0 тыс. рублей;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lastRenderedPageBreak/>
        <w:t> 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 xml:space="preserve">- ожидаемое поступление НДФЛ в 2019 году прогнозируется  в сумме 35112,0 тыс. рублей, в том числе по дополнительному нормативу: 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center"/>
        <w:rPr>
          <w:sz w:val="27"/>
          <w:szCs w:val="27"/>
        </w:rPr>
      </w:pPr>
      <w:r w:rsidRPr="005A3B09">
        <w:rPr>
          <w:sz w:val="27"/>
          <w:szCs w:val="27"/>
        </w:rPr>
        <w:t> 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center"/>
        <w:rPr>
          <w:sz w:val="27"/>
          <w:szCs w:val="27"/>
        </w:rPr>
      </w:pPr>
      <w:r w:rsidRPr="005A3B09">
        <w:rPr>
          <w:sz w:val="27"/>
          <w:szCs w:val="27"/>
        </w:rPr>
        <w:t xml:space="preserve">Прогноз поступления доходов от НДФЛ на 2019-2022 годы </w:t>
      </w:r>
    </w:p>
    <w:p w:rsidR="005A3B09" w:rsidRPr="005A3B09" w:rsidRDefault="005A3B09" w:rsidP="005A3B09">
      <w:pPr>
        <w:pStyle w:val="consplustitle"/>
        <w:shd w:val="clear" w:color="auto" w:fill="FFFFFF"/>
        <w:spacing w:before="0" w:beforeAutospacing="0" w:after="0" w:afterAutospacing="0"/>
        <w:ind w:right="283" w:firstLine="540"/>
        <w:jc w:val="both"/>
        <w:rPr>
          <w:sz w:val="27"/>
          <w:szCs w:val="27"/>
        </w:rPr>
      </w:pPr>
      <w:r w:rsidRPr="005A3B09">
        <w:rPr>
          <w:sz w:val="27"/>
          <w:szCs w:val="27"/>
        </w:rPr>
        <w:t>                                                                                                             Тыс. руб.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620"/>
        <w:gridCol w:w="2520"/>
      </w:tblGrid>
      <w:tr w:rsidR="005A3B09" w:rsidRPr="005A3B09" w:rsidTr="005A3B09">
        <w:trPr>
          <w:trHeight w:val="35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center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Показатели поступления по НДФЛ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center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Сумма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-83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 xml:space="preserve">В </w:t>
            </w:r>
            <w:proofErr w:type="spellStart"/>
            <w:r w:rsidRPr="005A3B09">
              <w:rPr>
                <w:sz w:val="27"/>
                <w:szCs w:val="27"/>
              </w:rPr>
              <w:t>т.ч</w:t>
            </w:r>
            <w:proofErr w:type="spellEnd"/>
            <w:r w:rsidRPr="005A3B09">
              <w:rPr>
                <w:sz w:val="27"/>
                <w:szCs w:val="27"/>
              </w:rPr>
              <w:t>. сумма НДФЛ по дополнительному нормативу (50,0%)</w:t>
            </w:r>
          </w:p>
        </w:tc>
      </w:tr>
      <w:tr w:rsidR="005A3B09" w:rsidRPr="005A3B09" w:rsidTr="005A3B09">
        <w:trPr>
          <w:trHeight w:val="35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left="-108" w:right="283" w:firstLine="108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Ожидаемое поступление в 2019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center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35112,0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-83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-</w:t>
            </w:r>
          </w:p>
        </w:tc>
      </w:tr>
      <w:tr w:rsidR="005A3B09" w:rsidRPr="005A3B09" w:rsidTr="005A3B09">
        <w:trPr>
          <w:trHeight w:val="34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Прогноз на 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236040,0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195250,0</w:t>
            </w:r>
          </w:p>
        </w:tc>
      </w:tr>
      <w:tr w:rsidR="005A3B09" w:rsidRPr="005A3B09" w:rsidTr="005A3B09">
        <w:trPr>
          <w:trHeight w:val="193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Прогноз на 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249000,0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205403,0</w:t>
            </w:r>
          </w:p>
        </w:tc>
      </w:tr>
      <w:tr w:rsidR="005A3B09" w:rsidRPr="005A3B09" w:rsidTr="005A3B09">
        <w:trPr>
          <w:trHeight w:val="193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Прогноз на 2022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258960,0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09" w:rsidRPr="005A3B09" w:rsidRDefault="005A3B09" w:rsidP="005A3B09">
            <w:pPr>
              <w:pStyle w:val="consplustitle"/>
              <w:spacing w:before="0" w:beforeAutospacing="0" w:after="0" w:afterAutospacing="0" w:line="193" w:lineRule="atLeast"/>
              <w:ind w:right="283"/>
              <w:jc w:val="both"/>
              <w:rPr>
                <w:sz w:val="27"/>
                <w:szCs w:val="27"/>
              </w:rPr>
            </w:pPr>
            <w:r w:rsidRPr="005A3B09">
              <w:rPr>
                <w:sz w:val="27"/>
                <w:szCs w:val="27"/>
              </w:rPr>
              <w:t>213311,0</w:t>
            </w:r>
          </w:p>
        </w:tc>
      </w:tr>
    </w:tbl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 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-дотации на поддержку мер по обеспечению сбалансированности бюджетов на период 2020-2022 годов не предусмотрены;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-расходы районного бюджета рассчитаны на 7,3  месяца;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-не предусмотренные  расходы  на 2020 год составляют 191,7 тыс. рублей;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-не учтена ожидаемая кредиторская задолженность на 01.01.2020г</w:t>
      </w:r>
      <w:proofErr w:type="gramStart"/>
      <w:r w:rsidRPr="005A3B09">
        <w:rPr>
          <w:sz w:val="27"/>
          <w:szCs w:val="27"/>
        </w:rPr>
        <w:t>.(</w:t>
      </w:r>
      <w:proofErr w:type="gramEnd"/>
      <w:r w:rsidRPr="005A3B09">
        <w:rPr>
          <w:sz w:val="27"/>
          <w:szCs w:val="27"/>
        </w:rPr>
        <w:t>на 01.11.2019г.- 153,0 тыс. рублей (районный бюджет);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> </w:t>
      </w:r>
    </w:p>
    <w:p w:rsidR="005A3B09" w:rsidRPr="005A3B09" w:rsidRDefault="005A3B09" w:rsidP="005A3B09">
      <w:pPr>
        <w:pStyle w:val="consplusnormal"/>
        <w:spacing w:before="0" w:beforeAutospacing="0" w:after="0" w:afterAutospacing="0"/>
        <w:rPr>
          <w:sz w:val="27"/>
          <w:szCs w:val="27"/>
        </w:rPr>
      </w:pPr>
      <w:r w:rsidRPr="005A3B09">
        <w:rPr>
          <w:sz w:val="27"/>
          <w:szCs w:val="27"/>
        </w:rPr>
        <w:t xml:space="preserve">-принятие таблицы поправок к проекту закона Республики Хакасия «О республиканском бюджете Республики Хакасия на 2020 год и на плановый период 2021 и 2022 годов». 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Учитывая </w:t>
      </w:r>
      <w:proofErr w:type="gramStart"/>
      <w:r w:rsidRPr="005A3B09">
        <w:rPr>
          <w:rFonts w:ascii="Times New Roman" w:hAnsi="Times New Roman" w:cs="Times New Roman"/>
          <w:sz w:val="27"/>
          <w:szCs w:val="27"/>
        </w:rPr>
        <w:t>вышеизложенное</w:t>
      </w:r>
      <w:proofErr w:type="gramEnd"/>
      <w:r w:rsidRPr="005A3B09">
        <w:rPr>
          <w:rFonts w:ascii="Times New Roman" w:hAnsi="Times New Roman" w:cs="Times New Roman"/>
          <w:sz w:val="27"/>
          <w:szCs w:val="27"/>
        </w:rPr>
        <w:t>, участники публичных слушаниях 5 декабря 2019г. предложили следующие рекомендации: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1.Совету депутатов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 проект решения "О бюджете  муниципального образования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 Республики Хакасия на 2020 год и на плановый период 2021 и 2022 годов" не принимать в представленных параметрах.</w:t>
      </w:r>
    </w:p>
    <w:p w:rsidR="005A3B09" w:rsidRPr="005A3B09" w:rsidRDefault="005A3B09" w:rsidP="005A3B0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2.Рекомендации публичных слушаний опубликовать в газете «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Аскизский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>  труженик», а так же направить в Правительство Республики Хакасия и Верховный Совет Республики Хакасия.</w:t>
      </w:r>
    </w:p>
    <w:p w:rsidR="005A3B09" w:rsidRPr="005A3B09" w:rsidRDefault="005A3B09" w:rsidP="005A3B0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 </w:t>
      </w:r>
    </w:p>
    <w:p w:rsidR="005A3B09" w:rsidRPr="005A3B09" w:rsidRDefault="005A3B09" w:rsidP="005A3B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Председатель </w:t>
      </w:r>
    </w:p>
    <w:p w:rsidR="005A3B09" w:rsidRPr="005A3B09" w:rsidRDefault="005A3B09" w:rsidP="005A3B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>Контрольно-ревизионной</w:t>
      </w:r>
    </w:p>
    <w:p w:rsidR="00676C28" w:rsidRPr="005A3B09" w:rsidRDefault="005A3B09" w:rsidP="005A3B0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A3B09">
        <w:rPr>
          <w:rFonts w:ascii="Times New Roman" w:hAnsi="Times New Roman" w:cs="Times New Roman"/>
          <w:sz w:val="27"/>
          <w:szCs w:val="27"/>
        </w:rPr>
        <w:t xml:space="preserve">комиссии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Аскизского</w:t>
      </w:r>
      <w:proofErr w:type="spellEnd"/>
      <w:r w:rsidRPr="005A3B09">
        <w:rPr>
          <w:rFonts w:ascii="Times New Roman" w:hAnsi="Times New Roman" w:cs="Times New Roman"/>
          <w:sz w:val="27"/>
          <w:szCs w:val="27"/>
        </w:rPr>
        <w:t xml:space="preserve"> района                                                             Л. Ф. </w:t>
      </w:r>
      <w:proofErr w:type="spellStart"/>
      <w:r w:rsidRPr="005A3B09">
        <w:rPr>
          <w:rFonts w:ascii="Times New Roman" w:hAnsi="Times New Roman" w:cs="Times New Roman"/>
          <w:sz w:val="27"/>
          <w:szCs w:val="27"/>
        </w:rPr>
        <w:t>Чебодаева</w:t>
      </w:r>
      <w:proofErr w:type="spellEnd"/>
    </w:p>
    <w:sectPr w:rsidR="00676C28" w:rsidRPr="005A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E4"/>
    <w:rsid w:val="000D23C7"/>
    <w:rsid w:val="00296784"/>
    <w:rsid w:val="00345D59"/>
    <w:rsid w:val="00546BE4"/>
    <w:rsid w:val="00566FA9"/>
    <w:rsid w:val="005A3B09"/>
    <w:rsid w:val="00676C28"/>
    <w:rsid w:val="009A4D34"/>
    <w:rsid w:val="00D4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4"/>
    <w:basedOn w:val="a0"/>
    <w:rsid w:val="000D23C7"/>
  </w:style>
  <w:style w:type="paragraph" w:styleId="a3">
    <w:name w:val="Body Text"/>
    <w:basedOn w:val="a"/>
    <w:link w:val="a4"/>
    <w:uiPriority w:val="99"/>
    <w:semiHidden/>
    <w:unhideWhenUsed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2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9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A4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4D34"/>
  </w:style>
  <w:style w:type="paragraph" w:customStyle="1" w:styleId="a60">
    <w:name w:val="a6"/>
    <w:basedOn w:val="a"/>
    <w:rsid w:val="009A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140"/>
    <w:basedOn w:val="a0"/>
    <w:rsid w:val="009A4D34"/>
  </w:style>
  <w:style w:type="paragraph" w:customStyle="1" w:styleId="a7">
    <w:name w:val="a"/>
    <w:basedOn w:val="a"/>
    <w:rsid w:val="00D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5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4"/>
    <w:basedOn w:val="a0"/>
    <w:rsid w:val="000D23C7"/>
  </w:style>
  <w:style w:type="paragraph" w:styleId="a3">
    <w:name w:val="Body Text"/>
    <w:basedOn w:val="a"/>
    <w:link w:val="a4"/>
    <w:uiPriority w:val="99"/>
    <w:semiHidden/>
    <w:unhideWhenUsed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2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9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A4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4D34"/>
  </w:style>
  <w:style w:type="paragraph" w:customStyle="1" w:styleId="a60">
    <w:name w:val="a6"/>
    <w:basedOn w:val="a"/>
    <w:rsid w:val="009A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140"/>
    <w:basedOn w:val="a0"/>
    <w:rsid w:val="009A4D34"/>
  </w:style>
  <w:style w:type="paragraph" w:customStyle="1" w:styleId="a7">
    <w:name w:val="a"/>
    <w:basedOn w:val="a"/>
    <w:rsid w:val="00D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5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3157</Words>
  <Characters>18000</Characters>
  <Application>Microsoft Office Word</Application>
  <DocSecurity>0</DocSecurity>
  <Lines>150</Lines>
  <Paragraphs>42</Paragraphs>
  <ScaleCrop>false</ScaleCrop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Super-USER</dc:creator>
  <cp:keywords/>
  <dc:description/>
  <cp:lastModifiedBy>Super-USER</cp:lastModifiedBy>
  <cp:revision>8</cp:revision>
  <dcterms:created xsi:type="dcterms:W3CDTF">2021-03-02T07:03:00Z</dcterms:created>
  <dcterms:modified xsi:type="dcterms:W3CDTF">2021-03-02T07:18:00Z</dcterms:modified>
</cp:coreProperties>
</file>