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2014"/>
        <w:gridCol w:w="6717"/>
      </w:tblGrid>
      <w:tr w:rsidR="00BA00AF" w:rsidRPr="00BA00AF" w14:paraId="2F1BE7F7" w14:textId="77777777" w:rsidTr="00BA00AF">
        <w:trPr>
          <w:tblCellSpacing w:w="0" w:type="dxa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7F0D" w14:textId="77777777" w:rsidR="00BA00AF" w:rsidRPr="00BA00AF" w:rsidRDefault="00BA00AF" w:rsidP="00BA00A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20A8F050" w14:textId="77777777" w:rsidR="00BA00AF" w:rsidRPr="00BA00AF" w:rsidRDefault="00BA00AF" w:rsidP="00BA00A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0C17F7B2" w14:textId="77777777" w:rsidR="00BA00AF" w:rsidRPr="00BA00AF" w:rsidRDefault="00BA00AF" w:rsidP="00BA00A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0E8617D9" w14:textId="77777777" w:rsidR="00BA00AF" w:rsidRPr="00BA00AF" w:rsidRDefault="00BA00AF" w:rsidP="00BA00A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8B71" w14:textId="77777777" w:rsidR="00BA00AF" w:rsidRPr="00BA00AF" w:rsidRDefault="00BA00AF" w:rsidP="00BA00AF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3CF3" w14:textId="77777777" w:rsidR="00BA00AF" w:rsidRPr="00BA00AF" w:rsidRDefault="00BA00AF" w:rsidP="00BA00AF">
            <w:pPr>
              <w:spacing w:after="100" w:afterAutospacing="1" w:line="199" w:lineRule="atLeast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618E1A61" w14:textId="77777777" w:rsidR="00BA00AF" w:rsidRPr="00BA00AF" w:rsidRDefault="00BA00AF" w:rsidP="00BA00A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2396EEDB" w14:textId="77777777" w:rsidR="00BA00AF" w:rsidRPr="00BA00AF" w:rsidRDefault="00BA00AF" w:rsidP="00BA00A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АЙМАҒЫНЫН</w:t>
            </w:r>
          </w:p>
          <w:p w14:paraId="70560572" w14:textId="77777777" w:rsidR="00BA00AF" w:rsidRPr="00BA00AF" w:rsidRDefault="00BA00AF" w:rsidP="00BA00A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УСТАҒ-ПАСТАА</w:t>
            </w:r>
          </w:p>
        </w:tc>
      </w:tr>
    </w:tbl>
    <w:p w14:paraId="5C9ECAD1" w14:textId="77777777" w:rsidR="00BA00AF" w:rsidRPr="00BA00AF" w:rsidRDefault="00BA00AF" w:rsidP="00BA00AF">
      <w:pPr>
        <w:spacing w:before="100" w:beforeAutospacing="1" w:after="100" w:afterAutospacing="1" w:line="240" w:lineRule="auto"/>
        <w:ind w:right="-11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52D796D5" w14:textId="77777777" w:rsidR="00BA00AF" w:rsidRPr="00BA00AF" w:rsidRDefault="00BA00AF" w:rsidP="00BA00AF">
      <w:pPr>
        <w:spacing w:before="100" w:beforeAutospacing="1" w:after="100" w:afterAutospacing="1" w:line="240" w:lineRule="auto"/>
        <w:ind w:right="-11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33C23A3A" w14:textId="77777777" w:rsidR="00BA00AF" w:rsidRPr="00BA00AF" w:rsidRDefault="00BA00AF" w:rsidP="00BA00AF">
      <w:pPr>
        <w:spacing w:before="100" w:beforeAutospacing="1" w:after="100" w:afterAutospacing="1" w:line="240" w:lineRule="auto"/>
        <w:ind w:right="-11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ПОСТАНОВЛЕНИЕ </w:t>
      </w:r>
    </w:p>
    <w:p w14:paraId="3D409C89" w14:textId="77777777" w:rsidR="00BA00AF" w:rsidRPr="00BA00AF" w:rsidRDefault="00BA00AF" w:rsidP="00BA00AF">
      <w:pPr>
        <w:spacing w:before="100" w:beforeAutospacing="1" w:after="100" w:afterAutospacing="1" w:line="240" w:lineRule="auto"/>
        <w:ind w:right="-11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от 08.04.2019                                       с. Аскиз                                                      № 204-п</w:t>
      </w: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72C208F6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Об итогах реализации </w:t>
      </w: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Муниципальной</w:t>
      </w:r>
    </w:p>
    <w:p w14:paraId="18DEB35D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программы «Профилактика правонарушений</w:t>
      </w:r>
    </w:p>
    <w:p w14:paraId="3293C323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на территории муниципального образования</w:t>
      </w:r>
    </w:p>
    <w:p w14:paraId="69B1F313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Аскизский район 2017-2020 годы»</w:t>
      </w:r>
      <w:r w:rsidRPr="00BA00A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AC7062D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044EA39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«Профилактика правонарушений на территории муниципального образования Аскизский район 2017-2020 годы», руководствуясь ст.ст. 35, 40 Устава муниципального образования Аскизский район от 20.12.2005г., </w:t>
      </w: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1EDA92E8" w14:textId="77777777" w:rsidR="00BA00AF" w:rsidRPr="00BA00AF" w:rsidRDefault="00BA00AF" w:rsidP="00BA00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       1. Утвердить прилагаемый отчет о реализации Муниципальной программы «Профилактика правонарушений на территории муниципального образования Аскизский район 2017-2020 годы» за 2018 год.</w:t>
      </w:r>
    </w:p>
    <w:p w14:paraId="42428E0C" w14:textId="77777777" w:rsidR="00BA00AF" w:rsidRPr="00BA00AF" w:rsidRDefault="00BA00AF" w:rsidP="00BA00AF">
      <w:pPr>
        <w:spacing w:after="0" w:line="240" w:lineRule="auto"/>
        <w:ind w:left="927" w:right="-1" w:hanging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2. Продолжить реализацию мероприятий по Муниципальной программе.</w:t>
      </w:r>
    </w:p>
    <w:p w14:paraId="0E502BF1" w14:textId="77777777" w:rsidR="00BA00AF" w:rsidRPr="00BA00AF" w:rsidRDefault="00BA00AF" w:rsidP="00BA00AF">
      <w:pPr>
        <w:spacing w:after="0" w:line="240" w:lineRule="auto"/>
        <w:ind w:left="927" w:right="-1" w:hanging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3.  Направить настоящее постановление для опубликования в редакцию</w:t>
      </w:r>
    </w:p>
    <w:p w14:paraId="34B27E44" w14:textId="77777777" w:rsidR="00BA00AF" w:rsidRPr="00BA00AF" w:rsidRDefault="00BA00AF" w:rsidP="00BA00A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14:paraId="3EA2B5A5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BA00AF">
        <w:rPr>
          <w:rFonts w:ascii="Times New Roman" w:eastAsia="Times New Roman" w:hAnsi="Times New Roman" w:cs="Times New Roman"/>
          <w:color w:val="052635"/>
          <w:sz w:val="36"/>
          <w:szCs w:val="36"/>
          <w:lang w:eastAsia="ru-RU"/>
        </w:rPr>
        <w:t> </w:t>
      </w:r>
    </w:p>
    <w:p w14:paraId="031F449A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61976A43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  А.В. Челтыгмашев</w:t>
      </w:r>
    </w:p>
    <w:p w14:paraId="08D46D87" w14:textId="77777777" w:rsidR="00BA00AF" w:rsidRPr="00BA00AF" w:rsidRDefault="00BA00AF" w:rsidP="00BA00AF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87A8EB6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70C1BE92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53B8DACD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75AEDCBC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50571893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3856980B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6D13B343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27D1064E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18EBA6A5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lastRenderedPageBreak/>
        <w:t> </w:t>
      </w:r>
    </w:p>
    <w:p w14:paraId="2364C649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6C1796CA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6000AD08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14FAEA3E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78F91A4C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0772C448" w14:textId="77777777" w:rsidR="00BA00AF" w:rsidRPr="00BA00AF" w:rsidRDefault="00BA00AF" w:rsidP="00BA00AF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58E0BC92" w14:textId="77777777" w:rsidR="00BA00AF" w:rsidRPr="00BA00AF" w:rsidRDefault="00BA00AF" w:rsidP="00BA00AF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Утвержден постановлением</w:t>
      </w:r>
    </w:p>
    <w:p w14:paraId="40AF12A4" w14:textId="77777777" w:rsidR="00BA00AF" w:rsidRPr="00BA00AF" w:rsidRDefault="00BA00AF" w:rsidP="00BA00AF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Администрации Аскизского района</w:t>
      </w:r>
    </w:p>
    <w:p w14:paraId="176B031C" w14:textId="77777777" w:rsidR="00BA00AF" w:rsidRPr="00BA00AF" w:rsidRDefault="00BA00AF" w:rsidP="00BA00AF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Республики Хакасия</w:t>
      </w:r>
    </w:p>
    <w:p w14:paraId="7F63015D" w14:textId="77777777" w:rsidR="00BA00AF" w:rsidRPr="00BA00AF" w:rsidRDefault="00BA00AF" w:rsidP="00BA00AF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от «_</w:t>
      </w:r>
      <w:r w:rsidRPr="00BA00AF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08</w:t>
      </w: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» ___</w:t>
      </w:r>
      <w:r w:rsidRPr="00BA00AF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04</w:t>
      </w: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___ 2019г. № _</w:t>
      </w:r>
      <w:r w:rsidRPr="00BA00AF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204-п</w:t>
      </w:r>
    </w:p>
    <w:p w14:paraId="143855D5" w14:textId="77777777" w:rsidR="00BA00AF" w:rsidRPr="00BA00AF" w:rsidRDefault="00BA00AF" w:rsidP="00BA00AF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0418865" w14:textId="77777777" w:rsidR="00BA00AF" w:rsidRPr="00BA00AF" w:rsidRDefault="00BA00AF" w:rsidP="00BA00AF">
      <w:pPr>
        <w:spacing w:after="0" w:line="240" w:lineRule="atLeast"/>
        <w:ind w:left="4248" w:right="140"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D1A777C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Отчет о реализации Муниципальной программы</w:t>
      </w:r>
    </w:p>
    <w:p w14:paraId="7B66C65B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«Профилактика правонарушений на территории муниципального образования Аскизский район на 2017-2020 годы»</w:t>
      </w:r>
    </w:p>
    <w:p w14:paraId="30D48A12" w14:textId="77777777" w:rsidR="00BA00AF" w:rsidRPr="00BA00AF" w:rsidRDefault="00BA00AF" w:rsidP="00BA00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4C19580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Администрацией Аскизского района Республики Хакасия утверждена Муниципальная программа «</w:t>
      </w: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Профилактика правонарушений на территории муниципального образования Аскизский район 2017-2020 годы</w:t>
      </w: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» (постановление от 31.12.2016г. № 1345-п). Внесены изменения в постановление Администрации Аскизского района (постановление от 29.12.2017г. № 1360-п, от 10.04.2018г. № 315а-п, от 25.01.2019г. № 30-п, от 04.03.2019г. № 88-п). Программа не содержит подпрограмм.</w:t>
      </w:r>
    </w:p>
    <w:p w14:paraId="71913BD8" w14:textId="77777777" w:rsidR="00BA00AF" w:rsidRPr="00BA00AF" w:rsidRDefault="00BA00AF" w:rsidP="00BA00AF">
      <w:pPr>
        <w:spacing w:before="100" w:beforeAutospacing="1" w:after="100" w:afterAutospacing="1" w:line="199" w:lineRule="atLeast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Цель: </w:t>
      </w: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Совершенствование многоуровневой системы профилактики преступлений и правонарушений на территории Аскизского района Республики Хакасия:</w:t>
      </w: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 </w:t>
      </w: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Выявление и устранение причин и условий, способствующих совершению правонарушений.</w:t>
      </w:r>
    </w:p>
    <w:p w14:paraId="6BB1C055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Задачи программы:</w:t>
      </w:r>
    </w:p>
    <w:p w14:paraId="1D2C6841" w14:textId="77777777" w:rsidR="00BA00AF" w:rsidRPr="00BA00AF" w:rsidRDefault="00BA00AF" w:rsidP="00BA00AF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- снижение уровня преступности на территории Аскизского района:  активизация работы по профилактике правонарушений,  направленной на борьбу с пьянством, алкоголизмом, наркоманией, преступностью, незаконной миграцией;</w:t>
      </w:r>
    </w:p>
    <w:p w14:paraId="4BA84454" w14:textId="77777777" w:rsidR="00BA00AF" w:rsidRPr="00BA00AF" w:rsidRDefault="00BA00AF" w:rsidP="00BA00AF">
      <w:pPr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- повышение уровня профилактики правонарушений, связанных с неорганизованным выпасом сельскохозяйственных животных;</w:t>
      </w:r>
    </w:p>
    <w:p w14:paraId="115225A2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- 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</w:r>
    </w:p>
    <w:p w14:paraId="177A6689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В 2018 году на финансирование мероприятий в рамках реализации Муниципальной программы «Профилактика правонарушений на территории муниципального образования Аскизский района 2017-2020 годы» были предусмотрены денежные средства в размере 55,0 тыс.руб.</w:t>
      </w:r>
    </w:p>
    <w:p w14:paraId="4DBC4F77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Фактический объем финансирования в 2018 году составил 42,0 тыс.руб.</w:t>
      </w:r>
    </w:p>
    <w:p w14:paraId="4C415CD3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За 2018 год по программе было запланировано проведение 9 мероприятий, фактически было проведено 8 мероприятий, не требующих финансирования. По двум мероприятиям, а именно для создания и размещения в СМИ и местах массового пребывания граждан, социальной рекламы, были выделены денежные средства для изготовления 14-ти баннеров на сумму 17,0 тыс. рублей, а также для оснащения членов народных дружин, для приобретения жилетов и удостоверений были выделены денежные средства в размере 25,0 тыс. рублей.</w:t>
      </w:r>
    </w:p>
    <w:p w14:paraId="0292E745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8BEE2A9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lastRenderedPageBreak/>
        <w:t>Отчет об оценке эффективности реализации муниципальной программы «Профилактика правонарушений на территории муниципального образования Аскизского района 2017-2020 годы» по итогам 2018 года</w:t>
      </w:r>
    </w:p>
    <w:p w14:paraId="2E0A47C3" w14:textId="77777777" w:rsidR="00BA00AF" w:rsidRPr="00BA00AF" w:rsidRDefault="00BA00AF" w:rsidP="00BA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15000" w:type="dxa"/>
        <w:tblCellSpacing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463"/>
        <w:gridCol w:w="23"/>
        <w:gridCol w:w="45"/>
        <w:gridCol w:w="1209"/>
        <w:gridCol w:w="24"/>
        <w:gridCol w:w="2720"/>
        <w:gridCol w:w="22"/>
        <w:gridCol w:w="45"/>
        <w:gridCol w:w="22"/>
        <w:gridCol w:w="2320"/>
        <w:gridCol w:w="22"/>
        <w:gridCol w:w="22"/>
        <w:gridCol w:w="2180"/>
        <w:gridCol w:w="88"/>
        <w:gridCol w:w="22"/>
        <w:gridCol w:w="45"/>
        <w:gridCol w:w="2089"/>
      </w:tblGrid>
      <w:tr w:rsidR="00BA00AF" w:rsidRPr="00BA00AF" w14:paraId="4C35608A" w14:textId="77777777" w:rsidTr="00BA00AF">
        <w:trPr>
          <w:trHeight w:val="2371"/>
          <w:tblCellSpacing w:w="0" w:type="dxa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B6FD091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A12483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002ADA1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21CBACAB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1DABD1EC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  <w:p w14:paraId="63A10E3E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показателей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4AC539D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521087E0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5F396E0C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Ед.</w:t>
            </w:r>
          </w:p>
          <w:p w14:paraId="393F9BC0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изм.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846E2F9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327E5C93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Фактическое значение показателей за год,</w:t>
            </w:r>
          </w:p>
          <w:p w14:paraId="34B23F61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предшествующий</w:t>
            </w:r>
          </w:p>
          <w:p w14:paraId="35364D1F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отчетному</w:t>
            </w:r>
          </w:p>
          <w:p w14:paraId="7F3972C7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9F5384C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2F7DAD21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  <w:p w14:paraId="03678596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57C809E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045EFEED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  <w:p w14:paraId="4B666F30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3C45AE8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E0414A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BA00AF" w:rsidRPr="00BA00AF" w14:paraId="2FF7166B" w14:textId="77777777" w:rsidTr="00BA00AF">
        <w:trPr>
          <w:trHeight w:val="563"/>
          <w:tblCellSpacing w:w="0" w:type="dxa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6C571DD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ADFC0F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0AB9DF2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2D7263B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2E26CB2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70922D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0A493F4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CCCCAF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FD535A2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775C72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B225E07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7DF981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BD97DDD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BE635F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BA00AF" w:rsidRPr="00BA00AF" w14:paraId="19E0B791" w14:textId="77777777" w:rsidTr="00BA00AF">
        <w:trPr>
          <w:trHeight w:val="2683"/>
          <w:tblCellSpacing w:w="0" w:type="dxa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523D7B8" w14:textId="77777777" w:rsidR="00BA00AF" w:rsidRPr="00BA00AF" w:rsidRDefault="00BA00AF" w:rsidP="00BA00AF">
            <w:pPr>
              <w:spacing w:before="100" w:beforeAutospacing="1" w:after="100" w:afterAutospacing="1" w:line="39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B17874F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программа «Профилактика правонарушений на территории муниципального образования Аскизский район 2017-2020 годы»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0AEB6E5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9AB36D3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8630901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A5D48B9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7BBC77D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A00AF" w:rsidRPr="00BA00AF" w14:paraId="4658E44E" w14:textId="77777777" w:rsidTr="00BA00AF">
        <w:trPr>
          <w:trHeight w:val="1134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CEEEF25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559447E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A57EBF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3FC5195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D2A60F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тыс.руб</w:t>
            </w:r>
          </w:p>
          <w:p w14:paraId="59395AA0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856896A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E26073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55,0</w:t>
            </w:r>
          </w:p>
          <w:p w14:paraId="599B1DC7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ED23AD4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27A132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55FCE42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78A4AC" w14:textId="77777777" w:rsidR="00BA00AF" w:rsidRPr="00BA00AF" w:rsidRDefault="00BA00AF" w:rsidP="00BA00A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42,0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A524D80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73FA5F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A00AF" w:rsidRPr="00BA00AF" w14:paraId="33852A69" w14:textId="77777777" w:rsidTr="00BA00AF">
        <w:trPr>
          <w:trHeight w:val="980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B3B5D59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F791772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 1: «Снижение уровня преступности на территории Аскизского района: активизация работы по профилактике правонарушений, направленной на борьбу с пьянством, алкоголизмом, наркоманией, преступностью, незаконной миграцией»</w:t>
            </w:r>
          </w:p>
        </w:tc>
      </w:tr>
      <w:tr w:rsidR="00BA00AF" w:rsidRPr="00BA00AF" w14:paraId="3FAC50B2" w14:textId="77777777" w:rsidTr="00BA00AF">
        <w:trPr>
          <w:trHeight w:val="80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6B8C840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E70B60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A00AF" w:rsidRPr="00BA00AF" w14:paraId="6FB98393" w14:textId="77777777" w:rsidTr="00BA00AF">
        <w:trPr>
          <w:trHeight w:val="1076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0A088F1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9B25BF2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снижение количества зарегистрированных преступлений: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A7E16F4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433F6C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8E4CF3B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CEEB85D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2 %;</w:t>
            </w:r>
          </w:p>
        </w:tc>
        <w:tc>
          <w:tcPr>
            <w:tcW w:w="16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D23AEE2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F911E8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4 %;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A30CA38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CAB77D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7,3 %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7EDF487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CAA8C5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A00AF" w:rsidRPr="00BA00AF" w14:paraId="3EAC96A2" w14:textId="77777777" w:rsidTr="00BA00AF">
        <w:trPr>
          <w:trHeight w:val="710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AF9A1E7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5C4EC5E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 2: «Привлечение населения к профилактической деятельности по обеспечению граждан, укреплению правопорядка на территории Аскизского района»</w:t>
            </w:r>
          </w:p>
        </w:tc>
      </w:tr>
      <w:tr w:rsidR="00BA00AF" w:rsidRPr="00BA00AF" w14:paraId="677BF5C0" w14:textId="77777777" w:rsidTr="00BA00AF">
        <w:trPr>
          <w:trHeight w:val="80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E1B9F70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C07CAF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A00AF" w:rsidRPr="00BA00AF" w14:paraId="575ED64D" w14:textId="77777777" w:rsidTr="00BA00AF">
        <w:trPr>
          <w:trHeight w:val="2537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98FBF16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AA27DE4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увеличение количества граждан, участвующих в деятельности общественных объединений правоохранительной направленности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6C477F0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  <w:p w14:paraId="3A39D913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8499228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1978E3B9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3,0 %;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DC4E5DB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15B2DE80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6,0 %;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A0E831C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  <w:p w14:paraId="69C87BE5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13 %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B45FF45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</w:tc>
      </w:tr>
      <w:tr w:rsidR="00BA00AF" w:rsidRPr="00BA00AF" w14:paraId="1256A5B3" w14:textId="77777777" w:rsidTr="00BA00AF">
        <w:trPr>
          <w:trHeight w:val="988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C5038D0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90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CA07288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Задача 3: «</w:t>
            </w: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свободы»</w:t>
            </w:r>
          </w:p>
        </w:tc>
      </w:tr>
      <w:tr w:rsidR="00BA00AF" w:rsidRPr="00BA00AF" w14:paraId="1DAE8F0D" w14:textId="77777777" w:rsidTr="00BA00AF">
        <w:trPr>
          <w:trHeight w:val="856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11F72C9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8349AF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A00AF" w:rsidRPr="00BA00AF" w14:paraId="060E3C67" w14:textId="77777777" w:rsidTr="00BA00AF">
        <w:trPr>
          <w:trHeight w:val="3698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CB29C58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B24C5C4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снижение уровня рецидивной преступности, уменьшение удельного веса преступлений, совершенных лицами, ранее совершавшими преступления, от общего числа расследованных преступлений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CC3DC53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10E83A31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72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80D1BB4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ECA12E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2 %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5F044EB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5D90B1BA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4 %;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2FF1BEB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5FDEB6B3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E13D0EF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59434DD8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A00AF" w:rsidRPr="00BA00AF" w14:paraId="4B35483A" w14:textId="77777777" w:rsidTr="00BA00AF">
        <w:trPr>
          <w:trHeight w:val="705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B2FE23B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7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706CEB9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Задача 4: «</w:t>
            </w: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уровня профилактики правонарушений, связанных с неорганизованным выпасом сельскохозяйственных животных»</w:t>
            </w:r>
          </w:p>
        </w:tc>
      </w:tr>
      <w:tr w:rsidR="00BA00AF" w:rsidRPr="00BA00AF" w14:paraId="089C7007" w14:textId="77777777" w:rsidTr="00BA00AF">
        <w:trPr>
          <w:trHeight w:val="80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620BBAD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CCB72F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A00AF" w:rsidRPr="00BA00AF" w14:paraId="048C4ACC" w14:textId="77777777" w:rsidTr="00BA00AF">
        <w:trPr>
          <w:trHeight w:val="3176"/>
          <w:tblCellSpacing w:w="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48269DF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248C18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увеличение количества мероприятий, направленных на профилактику правонарушений, связанных с неорганизованным выпасом сельскохозяйственных животных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1F46C3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EAA313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7EC9AD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3C0BA70C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10,0 %;</w:t>
            </w:r>
          </w:p>
        </w:tc>
        <w:tc>
          <w:tcPr>
            <w:tcW w:w="1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144FDA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74482586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20,0 %;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D482E3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9AE0606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29D98F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A00AF" w:rsidRPr="00BA00AF" w14:paraId="42B32237" w14:textId="77777777" w:rsidTr="00BA00AF">
        <w:trPr>
          <w:trHeight w:val="263"/>
          <w:tblCellSpacing w:w="0" w:type="dxa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E33BA" w14:textId="77777777" w:rsidR="00BA00AF" w:rsidRPr="00BA00AF" w:rsidRDefault="00BA00AF" w:rsidP="00BA00AF">
            <w:pPr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00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A00AF" w:rsidRPr="00BA00AF" w14:paraId="73F47CFA" w14:textId="77777777" w:rsidTr="00BA00AF">
        <w:trPr>
          <w:tblCellSpacing w:w="0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461EF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DF262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84415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8D974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B32DA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A8467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62787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74426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E6B67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B232A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0C671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9C222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9471B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9857C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2EC78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68C56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2A9CA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88F76" w14:textId="77777777" w:rsidR="00BA00AF" w:rsidRPr="00BA00AF" w:rsidRDefault="00BA00AF" w:rsidP="00BA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6B7E3B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07D65735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О(1)=7,3/4=1,82     О(2)=13/6=2,17      О(3)=0           О(4)=0</w:t>
      </w:r>
    </w:p>
    <w:p w14:paraId="44DC4174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14:paraId="50C7D7A1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1DA82930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pacing w:val="-10"/>
          <w:sz w:val="17"/>
          <w:szCs w:val="17"/>
          <w:lang w:eastAsia="ru-RU"/>
        </w:rPr>
        <w:t>                У=(1,82+2,17+0+0)/4=1,0</w:t>
      </w:r>
    </w:p>
    <w:p w14:paraId="5740C6EA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pacing w:val="-10"/>
          <w:sz w:val="17"/>
          <w:szCs w:val="17"/>
          <w:vertAlign w:val="subscript"/>
          <w:lang w:eastAsia="ru-RU"/>
        </w:rPr>
        <w:t> </w:t>
      </w:r>
    </w:p>
    <w:p w14:paraId="6B1BECDA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Коэффициент Финансового обеспечения подпрограммы:</w:t>
      </w:r>
    </w:p>
    <w:p w14:paraId="295A4BFA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И=42/55=0,76</w:t>
      </w:r>
    </w:p>
    <w:p w14:paraId="08217523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14:paraId="069785DA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lastRenderedPageBreak/>
        <w:t>Оценка эффективности реализации подпрограммы:</w:t>
      </w:r>
    </w:p>
    <w:p w14:paraId="7DF6B044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pacing w:val="10"/>
          <w:sz w:val="17"/>
          <w:szCs w:val="17"/>
          <w:lang w:eastAsia="ru-RU"/>
        </w:rPr>
        <w:t>         Э=1/0,76=1,3</w:t>
      </w:r>
    </w:p>
    <w:p w14:paraId="7BD52A1E" w14:textId="77777777" w:rsidR="00BA00AF" w:rsidRPr="00BA00AF" w:rsidRDefault="00BA00AF" w:rsidP="00BA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pacing w:val="10"/>
          <w:sz w:val="17"/>
          <w:szCs w:val="17"/>
          <w:lang w:eastAsia="ru-RU"/>
        </w:rPr>
        <w:t> </w:t>
      </w:r>
    </w:p>
    <w:p w14:paraId="3BBDC632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Предложения по дальнейшей реализации программы: продолжить работу по выполнению мероприятий Муниципальной программы «</w:t>
      </w:r>
      <w:r w:rsidRPr="00BA00A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Профилактика правонарушений на территории муниципального образования Аскизский район 2017-2020 годы</w:t>
      </w: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».</w:t>
      </w:r>
    </w:p>
    <w:p w14:paraId="7A694B65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Программа имеет показатели эффективности 1,3.</w:t>
      </w:r>
    </w:p>
    <w:p w14:paraId="347E5CBA" w14:textId="77777777" w:rsidR="00BA00AF" w:rsidRPr="00BA00AF" w:rsidRDefault="00BA00AF" w:rsidP="00BA00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00A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дальнейшем необходимо скорректировать показатели индикатора эффективности в 2019 году.</w:t>
      </w:r>
    </w:p>
    <w:p w14:paraId="6EB808EF" w14:textId="77777777" w:rsidR="00BA00AF" w:rsidRPr="00BA00AF" w:rsidRDefault="00BA00AF" w:rsidP="00BA00A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53BAFF6" w14:textId="77777777" w:rsidR="00BA00AF" w:rsidRPr="00BA00AF" w:rsidRDefault="00BA00AF" w:rsidP="00BA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" w:history="1">
        <w:r w:rsidRPr="00BA00AF">
          <w:rPr>
            <w:rFonts w:ascii="Times New Roman" w:eastAsia="Times New Roman" w:hAnsi="Times New Roman" w:cs="Times New Roman"/>
            <w:color w:val="1759B4"/>
            <w:sz w:val="17"/>
            <w:szCs w:val="17"/>
            <w:u w:val="single"/>
            <w:lang w:eastAsia="ru-RU"/>
          </w:rPr>
          <w:t>Возврат к списку</w:t>
        </w:r>
      </w:hyperlink>
    </w:p>
    <w:p w14:paraId="3F3906C1" w14:textId="77777777" w:rsidR="00C46533" w:rsidRDefault="00C46533"/>
    <w:sectPr w:rsidR="00C4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33"/>
    <w:rsid w:val="00BA00AF"/>
    <w:rsid w:val="00C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CE34-335E-474F-9D9C-82AB8AC3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BA00A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A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A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kiz.org/regulatory/mun/Profilak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2020-08-20T20:36:00Z</dcterms:created>
  <dcterms:modified xsi:type="dcterms:W3CDTF">2020-08-20T20:36:00Z</dcterms:modified>
</cp:coreProperties>
</file>