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79"/>
        <w:gridCol w:w="5068"/>
      </w:tblGrid>
      <w:tr w:rsidR="0048623F" w:rsidRPr="0041740E" w:rsidTr="005C10BA">
        <w:tc>
          <w:tcPr>
            <w:tcW w:w="642" w:type="dxa"/>
          </w:tcPr>
          <w:p w:rsidR="0048623F" w:rsidRPr="0041740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41740E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41740E" w:rsidRDefault="005E57FE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41740E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41740E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41740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41740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C28" w:rsidRPr="0041740E" w:rsidTr="005C10BA">
        <w:tc>
          <w:tcPr>
            <w:tcW w:w="642" w:type="dxa"/>
          </w:tcPr>
          <w:p w:rsidR="00C85C28" w:rsidRPr="0041740E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0545C6" w:rsidRPr="0041740E" w:rsidRDefault="0041740E" w:rsidP="0041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b/>
                <w:sz w:val="24"/>
                <w:szCs w:val="24"/>
              </w:rPr>
              <w:t>Реконструкция</w:t>
            </w:r>
            <w:r w:rsidR="00537F77" w:rsidRPr="0041740E">
              <w:rPr>
                <w:rFonts w:ascii="Times New Roman" w:hAnsi="Times New Roman"/>
                <w:b/>
                <w:sz w:val="24"/>
                <w:szCs w:val="24"/>
              </w:rPr>
              <w:t xml:space="preserve"> и эксплуатация </w:t>
            </w:r>
            <w:r w:rsidR="001B24B2" w:rsidRPr="0041740E">
              <w:rPr>
                <w:rFonts w:ascii="Times New Roman" w:hAnsi="Times New Roman"/>
                <w:b/>
                <w:sz w:val="24"/>
                <w:szCs w:val="24"/>
              </w:rPr>
              <w:t xml:space="preserve">объекта электросетевого хозяйства </w:t>
            </w:r>
            <w:r w:rsidR="001B24B2" w:rsidRPr="0041740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федерального значения </w:t>
            </w:r>
            <w:r w:rsidRPr="0041740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41740E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Pr="0041740E">
              <w:rPr>
                <w:rFonts w:ascii="Times New Roman" w:hAnsi="Times New Roman"/>
                <w:b/>
                <w:sz w:val="24"/>
                <w:szCs w:val="24"/>
              </w:rPr>
              <w:t xml:space="preserve"> 220 </w:t>
            </w:r>
            <w:proofErr w:type="spellStart"/>
            <w:r w:rsidRPr="0041740E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41740E">
              <w:rPr>
                <w:rFonts w:ascii="Times New Roman" w:hAnsi="Times New Roman"/>
                <w:b/>
                <w:sz w:val="24"/>
                <w:szCs w:val="24"/>
              </w:rPr>
              <w:t xml:space="preserve"> Степная-Бискамжа» </w:t>
            </w:r>
            <w:r w:rsidR="003E203D" w:rsidRPr="0041740E">
              <w:rPr>
                <w:rFonts w:ascii="Times New Roman" w:hAnsi="Times New Roman"/>
                <w:b/>
                <w:sz w:val="24"/>
                <w:szCs w:val="24"/>
              </w:rPr>
              <w:t xml:space="preserve">по проекту: </w:t>
            </w:r>
            <w:r w:rsidRPr="0041740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E203D" w:rsidRPr="0041740E">
              <w:rPr>
                <w:rFonts w:ascii="Times New Roman" w:hAnsi="Times New Roman"/>
                <w:b/>
                <w:sz w:val="24"/>
                <w:szCs w:val="24"/>
              </w:rPr>
              <w:t xml:space="preserve">«Строительство второй </w:t>
            </w:r>
            <w:proofErr w:type="gramStart"/>
            <w:r w:rsidR="003E203D" w:rsidRPr="0041740E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="003E203D" w:rsidRPr="0041740E">
              <w:rPr>
                <w:rFonts w:ascii="Times New Roman" w:hAnsi="Times New Roman"/>
                <w:b/>
                <w:sz w:val="24"/>
                <w:szCs w:val="24"/>
              </w:rPr>
              <w:t xml:space="preserve"> 220 </w:t>
            </w:r>
            <w:proofErr w:type="spellStart"/>
            <w:r w:rsidR="003E203D" w:rsidRPr="0041740E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3E203D" w:rsidRPr="0041740E">
              <w:rPr>
                <w:rFonts w:ascii="Times New Roman" w:hAnsi="Times New Roman"/>
                <w:b/>
                <w:sz w:val="24"/>
                <w:szCs w:val="24"/>
              </w:rPr>
              <w:t xml:space="preserve"> Междуреченская-Степная ориентировочной протяженностью 250 км</w:t>
            </w:r>
            <w:r w:rsidR="003E203D" w:rsidRPr="0041740E">
              <w:rPr>
                <w:rFonts w:ascii="Times New Roman" w:hAnsi="Times New Roman"/>
                <w:sz w:val="24"/>
                <w:szCs w:val="24"/>
              </w:rPr>
              <w:t>»</w:t>
            </w:r>
            <w:r w:rsidRPr="0041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545C6" w:rsidRPr="0041740E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1740E" w:rsidRPr="0041740E" w:rsidTr="005E57FE">
        <w:tc>
          <w:tcPr>
            <w:tcW w:w="642" w:type="dxa"/>
            <w:vMerge w:val="restart"/>
            <w:vAlign w:val="center"/>
          </w:tcPr>
          <w:p w:rsidR="0041740E" w:rsidRPr="0041740E" w:rsidRDefault="0041740E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vAlign w:val="center"/>
          </w:tcPr>
          <w:p w:rsidR="0041740E" w:rsidRPr="0041740E" w:rsidRDefault="0041740E" w:rsidP="00E52C6C">
            <w:pPr>
              <w:pStyle w:val="Default"/>
              <w:jc w:val="center"/>
            </w:pPr>
            <w:r w:rsidRPr="0041740E">
              <w:t>19:05:140201:118</w:t>
            </w:r>
          </w:p>
          <w:p w:rsidR="0041740E" w:rsidRPr="0041740E" w:rsidRDefault="0041740E" w:rsidP="00E52C6C">
            <w:pPr>
              <w:pStyle w:val="Default"/>
              <w:jc w:val="center"/>
            </w:pPr>
          </w:p>
        </w:tc>
        <w:tc>
          <w:tcPr>
            <w:tcW w:w="5068" w:type="dxa"/>
            <w:vAlign w:val="center"/>
          </w:tcPr>
          <w:p w:rsidR="0041740E" w:rsidRPr="0041740E" w:rsidRDefault="0041740E" w:rsidP="00E52C6C">
            <w:pPr>
              <w:pStyle w:val="Default"/>
              <w:jc w:val="center"/>
            </w:pPr>
            <w:r w:rsidRPr="0041740E">
              <w:t xml:space="preserve">Республика Хакасия, </w:t>
            </w:r>
            <w:proofErr w:type="spellStart"/>
            <w:r w:rsidRPr="0041740E">
              <w:t>Аскизский</w:t>
            </w:r>
            <w:proofErr w:type="spellEnd"/>
            <w:r w:rsidRPr="0041740E">
              <w:t xml:space="preserve"> район, ВЛ-220кВ Д-55 "</w:t>
            </w:r>
            <w:proofErr w:type="spellStart"/>
            <w:r w:rsidRPr="0041740E">
              <w:t>В.</w:t>
            </w:r>
            <w:proofErr w:type="gramStart"/>
            <w:r w:rsidRPr="0041740E">
              <w:t>Теи</w:t>
            </w:r>
            <w:proofErr w:type="spellEnd"/>
            <w:r w:rsidRPr="0041740E">
              <w:t>-Бискамжа</w:t>
            </w:r>
            <w:proofErr w:type="gramEnd"/>
            <w:r w:rsidRPr="0041740E">
              <w:t xml:space="preserve">", на территории </w:t>
            </w:r>
            <w:proofErr w:type="spellStart"/>
            <w:r w:rsidRPr="0041740E">
              <w:t>Вершино-Тейского</w:t>
            </w:r>
            <w:proofErr w:type="spellEnd"/>
            <w:r w:rsidRPr="0041740E">
              <w:t xml:space="preserve"> поссовета </w:t>
            </w:r>
          </w:p>
        </w:tc>
      </w:tr>
      <w:tr w:rsidR="0041740E" w:rsidRPr="0041740E" w:rsidTr="005645EA">
        <w:tc>
          <w:tcPr>
            <w:tcW w:w="642" w:type="dxa"/>
            <w:vMerge/>
          </w:tcPr>
          <w:p w:rsidR="0041740E" w:rsidRPr="0041740E" w:rsidRDefault="0041740E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1740E" w:rsidRPr="0041740E" w:rsidRDefault="0041740E" w:rsidP="00E52C6C">
            <w:pPr>
              <w:pStyle w:val="Default"/>
              <w:jc w:val="center"/>
            </w:pPr>
          </w:p>
          <w:p w:rsidR="0041740E" w:rsidRPr="0041740E" w:rsidRDefault="0041740E" w:rsidP="00E52C6C">
            <w:pPr>
              <w:pStyle w:val="Default"/>
              <w:jc w:val="center"/>
            </w:pPr>
            <w:r w:rsidRPr="0041740E">
              <w:t xml:space="preserve">19:05:000000:691 </w:t>
            </w:r>
          </w:p>
          <w:p w:rsidR="0041740E" w:rsidRPr="0041740E" w:rsidRDefault="0041740E" w:rsidP="00E52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41740E" w:rsidRPr="0041740E" w:rsidRDefault="0041740E" w:rsidP="00E52C6C">
            <w:pPr>
              <w:pStyle w:val="Default"/>
              <w:jc w:val="center"/>
            </w:pPr>
            <w:r w:rsidRPr="0041740E">
              <w:t xml:space="preserve">Республика Хакасия, </w:t>
            </w:r>
            <w:proofErr w:type="spellStart"/>
            <w:r w:rsidRPr="0041740E">
              <w:t>Аскизский</w:t>
            </w:r>
            <w:proofErr w:type="spellEnd"/>
            <w:r w:rsidRPr="0041740E">
              <w:t xml:space="preserve"> район, </w:t>
            </w:r>
            <w:proofErr w:type="spellStart"/>
            <w:r w:rsidRPr="0041740E">
              <w:t>Бирикчульское</w:t>
            </w:r>
            <w:proofErr w:type="spellEnd"/>
            <w:r w:rsidRPr="0041740E">
              <w:t xml:space="preserve"> лесничество, номер учетной записи в государственном лесном реестре: 790-2012-10 </w:t>
            </w:r>
          </w:p>
        </w:tc>
      </w:tr>
      <w:tr w:rsidR="0041740E" w:rsidRPr="0041740E" w:rsidTr="005645EA">
        <w:tc>
          <w:tcPr>
            <w:tcW w:w="642" w:type="dxa"/>
            <w:vMerge/>
          </w:tcPr>
          <w:p w:rsidR="0041740E" w:rsidRPr="0041740E" w:rsidRDefault="0041740E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1740E" w:rsidRPr="0041740E" w:rsidRDefault="0041740E" w:rsidP="00E52C6C">
            <w:pPr>
              <w:pStyle w:val="Default"/>
              <w:jc w:val="center"/>
            </w:pPr>
            <w:r w:rsidRPr="0041740E">
              <w:t xml:space="preserve">19:05:140201:345 </w:t>
            </w:r>
          </w:p>
          <w:p w:rsidR="0041740E" w:rsidRPr="0041740E" w:rsidRDefault="0041740E" w:rsidP="00E52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41740E" w:rsidRPr="0041740E" w:rsidRDefault="0041740E" w:rsidP="00E52C6C">
            <w:pPr>
              <w:pStyle w:val="Default"/>
              <w:jc w:val="center"/>
            </w:pPr>
            <w:proofErr w:type="gramStart"/>
            <w:r w:rsidRPr="0041740E">
              <w:t xml:space="preserve">Российская Федерация, Республика Хакасия, </w:t>
            </w:r>
            <w:proofErr w:type="spellStart"/>
            <w:r w:rsidRPr="0041740E">
              <w:t>Аскизский</w:t>
            </w:r>
            <w:proofErr w:type="spellEnd"/>
            <w:r w:rsidRPr="0041740E">
              <w:t xml:space="preserve"> район, </w:t>
            </w:r>
            <w:proofErr w:type="spellStart"/>
            <w:r w:rsidRPr="0041740E">
              <w:t>кв.кв</w:t>
            </w:r>
            <w:proofErr w:type="spellEnd"/>
            <w:r w:rsidRPr="0041740E">
              <w:t>. 14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1, 3, 5, 9, 11, 15, 20, 24), 18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1, 5,15, 16,) , 23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1, 2, 3, 4, 7, 24, 30, 31), 32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1, 2, 5, 7, 11, 13, 21, 30), 42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 xml:space="preserve">. 1, 2, 3, 14) </w:t>
            </w:r>
            <w:proofErr w:type="spellStart"/>
            <w:r w:rsidRPr="0041740E">
              <w:t>Тейского</w:t>
            </w:r>
            <w:proofErr w:type="spellEnd"/>
            <w:proofErr w:type="gramEnd"/>
            <w:r w:rsidRPr="0041740E">
              <w:t xml:space="preserve"> </w:t>
            </w:r>
            <w:proofErr w:type="gramStart"/>
            <w:r w:rsidRPr="0041740E">
              <w:t xml:space="preserve">участкового лесничества </w:t>
            </w:r>
            <w:proofErr w:type="spellStart"/>
            <w:r w:rsidRPr="0041740E">
              <w:t>Бирикчульского</w:t>
            </w:r>
            <w:proofErr w:type="spellEnd"/>
            <w:r w:rsidRPr="0041740E">
              <w:t xml:space="preserve"> лесничества, </w:t>
            </w:r>
            <w:proofErr w:type="spellStart"/>
            <w:r w:rsidRPr="0041740E">
              <w:t>кв.кв</w:t>
            </w:r>
            <w:proofErr w:type="spellEnd"/>
            <w:r w:rsidRPr="0041740E">
              <w:t>. 16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2, 5, 6), 17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5, 6, 8, 9, 10, 17), 26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12, 13, 16), 27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1, 2, 4, 6, 7, 9, 10, 12, 13), 38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>. 3, 4, 5), 40 (</w:t>
            </w:r>
            <w:proofErr w:type="spellStart"/>
            <w:r w:rsidRPr="0041740E">
              <w:t>ч.ч</w:t>
            </w:r>
            <w:proofErr w:type="spellEnd"/>
            <w:r w:rsidRPr="0041740E">
              <w:t>. выд.1, 2, 3, 6, 8), 41</w:t>
            </w:r>
            <w:proofErr w:type="gramEnd"/>
            <w:r w:rsidRPr="0041740E">
              <w:t xml:space="preserve"> (</w:t>
            </w:r>
            <w:proofErr w:type="spellStart"/>
            <w:r w:rsidRPr="0041740E">
              <w:t>ч.ч</w:t>
            </w:r>
            <w:proofErr w:type="spellEnd"/>
            <w:r w:rsidRPr="0041740E">
              <w:t>. выд.2, 3), 42 (</w:t>
            </w:r>
            <w:proofErr w:type="spellStart"/>
            <w:r w:rsidRPr="0041740E">
              <w:t>ч.ч</w:t>
            </w:r>
            <w:proofErr w:type="spellEnd"/>
            <w:r w:rsidRPr="0041740E">
              <w:t xml:space="preserve">. </w:t>
            </w:r>
            <w:proofErr w:type="spellStart"/>
            <w:r w:rsidRPr="0041740E">
              <w:t>выд</w:t>
            </w:r>
            <w:proofErr w:type="spellEnd"/>
            <w:r w:rsidRPr="0041740E">
              <w:t xml:space="preserve">. 13, 14, 15, 16, 17, 18) </w:t>
            </w:r>
            <w:proofErr w:type="spellStart"/>
            <w:r w:rsidRPr="0041740E">
              <w:t>Кизласовского</w:t>
            </w:r>
            <w:proofErr w:type="spellEnd"/>
            <w:r w:rsidRPr="0041740E">
              <w:t xml:space="preserve"> участкового лесничества </w:t>
            </w:r>
            <w:proofErr w:type="spellStart"/>
            <w:r w:rsidRPr="0041740E">
              <w:t>Бирикчульского</w:t>
            </w:r>
            <w:proofErr w:type="spellEnd"/>
            <w:r w:rsidRPr="0041740E">
              <w:t xml:space="preserve"> лесничества </w:t>
            </w:r>
          </w:p>
          <w:p w:rsidR="0041740E" w:rsidRPr="0041740E" w:rsidRDefault="0041740E" w:rsidP="00E52C6C">
            <w:pPr>
              <w:pStyle w:val="Default"/>
              <w:jc w:val="center"/>
            </w:pPr>
          </w:p>
        </w:tc>
      </w:tr>
      <w:tr w:rsidR="003E203D" w:rsidRPr="0041740E" w:rsidTr="005645EA">
        <w:tc>
          <w:tcPr>
            <w:tcW w:w="642" w:type="dxa"/>
            <w:vMerge/>
          </w:tcPr>
          <w:p w:rsidR="003E203D" w:rsidRPr="0041740E" w:rsidRDefault="003E203D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1740E" w:rsidRPr="0041740E" w:rsidRDefault="0041740E" w:rsidP="0041740E">
            <w:pPr>
              <w:pStyle w:val="Default"/>
              <w:jc w:val="center"/>
            </w:pPr>
            <w:r w:rsidRPr="0041740E">
              <w:t xml:space="preserve">19:05:140201:117 </w:t>
            </w:r>
          </w:p>
          <w:p w:rsidR="003E203D" w:rsidRPr="0041740E" w:rsidRDefault="003E203D" w:rsidP="003E20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3E203D" w:rsidRPr="0041740E" w:rsidRDefault="0041740E" w:rsidP="003E20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1740E">
              <w:rPr>
                <w:rFonts w:ascii="Times New Roman" w:hAnsi="Times New Roman"/>
                <w:sz w:val="24"/>
                <w:szCs w:val="24"/>
              </w:rPr>
              <w:t>Аскизский</w:t>
            </w:r>
            <w:proofErr w:type="spellEnd"/>
            <w:r w:rsidRPr="0041740E">
              <w:rPr>
                <w:rFonts w:ascii="Times New Roman" w:hAnsi="Times New Roman"/>
                <w:sz w:val="24"/>
                <w:szCs w:val="24"/>
              </w:rPr>
              <w:t xml:space="preserve"> район, ВЛ-220 </w:t>
            </w:r>
            <w:proofErr w:type="spellStart"/>
            <w:r w:rsidRPr="0041740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1740E">
              <w:rPr>
                <w:rFonts w:ascii="Times New Roman" w:hAnsi="Times New Roman"/>
                <w:sz w:val="24"/>
                <w:szCs w:val="24"/>
              </w:rPr>
              <w:t xml:space="preserve"> Д-54 "</w:t>
            </w:r>
            <w:proofErr w:type="spellStart"/>
            <w:r w:rsidRPr="0041740E">
              <w:rPr>
                <w:rFonts w:ascii="Times New Roman" w:hAnsi="Times New Roman"/>
                <w:sz w:val="24"/>
                <w:szCs w:val="24"/>
              </w:rPr>
              <w:t>Югачи-В</w:t>
            </w:r>
            <w:proofErr w:type="gramStart"/>
            <w:r w:rsidRPr="0041740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1740E">
              <w:rPr>
                <w:rFonts w:ascii="Times New Roman" w:hAnsi="Times New Roman"/>
                <w:sz w:val="24"/>
                <w:szCs w:val="24"/>
              </w:rPr>
              <w:t>еи</w:t>
            </w:r>
            <w:proofErr w:type="spellEnd"/>
            <w:r w:rsidRPr="0041740E">
              <w:rPr>
                <w:rFonts w:ascii="Times New Roman" w:hAnsi="Times New Roman"/>
                <w:sz w:val="24"/>
                <w:szCs w:val="24"/>
              </w:rPr>
              <w:t xml:space="preserve">", на территории </w:t>
            </w:r>
            <w:proofErr w:type="spellStart"/>
            <w:r w:rsidRPr="0041740E">
              <w:rPr>
                <w:rFonts w:ascii="Times New Roman" w:hAnsi="Times New Roman"/>
                <w:sz w:val="24"/>
                <w:szCs w:val="24"/>
              </w:rPr>
              <w:t>Вершино-Тёйского</w:t>
            </w:r>
            <w:proofErr w:type="spellEnd"/>
            <w:r w:rsidRPr="0041740E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</w:tr>
      <w:tr w:rsidR="00D33D2C" w:rsidRPr="0041740E" w:rsidTr="005C10BA">
        <w:tc>
          <w:tcPr>
            <w:tcW w:w="642" w:type="dxa"/>
          </w:tcPr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4B2B13" w:rsidRPr="0041740E" w:rsidRDefault="004B2B13" w:rsidP="00B40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40E" w:rsidRPr="0041740E" w:rsidRDefault="0041740E" w:rsidP="0041740E">
            <w:pPr>
              <w:pStyle w:val="Default"/>
              <w:jc w:val="center"/>
              <w:rPr>
                <w:color w:val="auto"/>
              </w:rPr>
            </w:pPr>
            <w:r w:rsidRPr="0041740E">
              <w:rPr>
                <w:color w:val="auto"/>
              </w:rPr>
              <w:t xml:space="preserve">Муниципальное образование </w:t>
            </w:r>
            <w:proofErr w:type="spellStart"/>
            <w:r w:rsidRPr="0041740E">
              <w:rPr>
                <w:color w:val="auto"/>
              </w:rPr>
              <w:t>Вершино-Тейский</w:t>
            </w:r>
            <w:proofErr w:type="spellEnd"/>
            <w:r w:rsidRPr="0041740E">
              <w:rPr>
                <w:color w:val="auto"/>
              </w:rPr>
              <w:t xml:space="preserve"> поссовет </w:t>
            </w:r>
            <w:proofErr w:type="spellStart"/>
            <w:r w:rsidRPr="0041740E">
              <w:rPr>
                <w:color w:val="auto"/>
              </w:rPr>
              <w:t>Аскизского</w:t>
            </w:r>
            <w:proofErr w:type="spellEnd"/>
            <w:r w:rsidRPr="0041740E">
              <w:rPr>
                <w:color w:val="auto"/>
              </w:rPr>
              <w:t xml:space="preserve"> района Республики Хакасия</w:t>
            </w:r>
          </w:p>
          <w:p w:rsidR="0041740E" w:rsidRPr="0041740E" w:rsidRDefault="0041740E" w:rsidP="0041740E">
            <w:pPr>
              <w:pStyle w:val="Default"/>
              <w:jc w:val="center"/>
              <w:rPr>
                <w:color w:val="auto"/>
              </w:rPr>
            </w:pPr>
            <w:r w:rsidRPr="0041740E">
              <w:rPr>
                <w:color w:val="auto"/>
              </w:rPr>
              <w:t xml:space="preserve">655731, Республика Хакасия, </w:t>
            </w:r>
            <w:proofErr w:type="spellStart"/>
            <w:r w:rsidRPr="0041740E">
              <w:rPr>
                <w:color w:val="auto"/>
              </w:rPr>
              <w:t>Аскизский</w:t>
            </w:r>
            <w:proofErr w:type="spellEnd"/>
            <w:r w:rsidRPr="0041740E">
              <w:rPr>
                <w:color w:val="auto"/>
              </w:rPr>
              <w:t xml:space="preserve"> район, </w:t>
            </w:r>
            <w:proofErr w:type="spellStart"/>
            <w:r w:rsidRPr="0041740E">
              <w:rPr>
                <w:color w:val="auto"/>
              </w:rPr>
              <w:t>рп</w:t>
            </w:r>
            <w:proofErr w:type="spellEnd"/>
            <w:r w:rsidRPr="0041740E">
              <w:rPr>
                <w:color w:val="auto"/>
              </w:rPr>
              <w:t xml:space="preserve">. </w:t>
            </w:r>
            <w:proofErr w:type="gramStart"/>
            <w:r w:rsidRPr="0041740E">
              <w:rPr>
                <w:color w:val="auto"/>
              </w:rPr>
              <w:t>Вершина-Теи</w:t>
            </w:r>
            <w:proofErr w:type="gramEnd"/>
            <w:r w:rsidRPr="0041740E">
              <w:rPr>
                <w:color w:val="auto"/>
              </w:rPr>
              <w:t>, ул. Набережная, 9</w:t>
            </w:r>
          </w:p>
          <w:p w:rsidR="0041740E" w:rsidRPr="0041740E" w:rsidRDefault="0041740E" w:rsidP="0041740E">
            <w:pPr>
              <w:pStyle w:val="Default"/>
              <w:jc w:val="center"/>
              <w:rPr>
                <w:color w:val="auto"/>
              </w:rPr>
            </w:pPr>
            <w:r w:rsidRPr="0041740E">
              <w:rPr>
                <w:color w:val="auto"/>
              </w:rPr>
              <w:t>время приема: с 9:00 до 17:00</w:t>
            </w:r>
          </w:p>
          <w:p w:rsidR="0041740E" w:rsidRPr="0041740E" w:rsidRDefault="0041740E" w:rsidP="0041740E">
            <w:pPr>
              <w:pStyle w:val="Default"/>
              <w:jc w:val="center"/>
              <w:rPr>
                <w:bCs/>
                <w:color w:val="auto"/>
              </w:rPr>
            </w:pPr>
            <w:r w:rsidRPr="0041740E">
              <w:rPr>
                <w:bCs/>
                <w:color w:val="auto"/>
              </w:rPr>
              <w:t>8 (39045) 9-56-52</w:t>
            </w:r>
          </w:p>
          <w:p w:rsidR="0041740E" w:rsidRPr="0041740E" w:rsidRDefault="0033469C" w:rsidP="0041740E">
            <w:pPr>
              <w:pStyle w:val="Default"/>
              <w:jc w:val="center"/>
              <w:rPr>
                <w:color w:val="auto"/>
              </w:rPr>
            </w:pPr>
            <w:hyperlink r:id="rId7" w:history="1">
              <w:r w:rsidR="0041740E" w:rsidRPr="0041740E">
                <w:rPr>
                  <w:color w:val="auto"/>
                </w:rPr>
                <w:t>v.teya@mail.ru</w:t>
              </w:r>
            </w:hyperlink>
          </w:p>
          <w:p w:rsidR="002F313A" w:rsidRPr="0041740E" w:rsidRDefault="002F313A" w:rsidP="002F3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481CE9" w:rsidRPr="0041740E" w:rsidRDefault="00481CE9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2C" w:rsidRPr="0041740E" w:rsidTr="005C10BA">
        <w:tc>
          <w:tcPr>
            <w:tcW w:w="642" w:type="dxa"/>
          </w:tcPr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D33D2C" w:rsidRPr="0041740E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41740E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D33D2C" w:rsidRPr="0041740E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</w:t>
            </w:r>
            <w:r w:rsidRPr="00417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D33D2C" w:rsidRPr="0041740E" w:rsidRDefault="00D33D2C" w:rsidP="00D33D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33D2C" w:rsidRPr="0041740E" w:rsidTr="005C10BA">
        <w:tc>
          <w:tcPr>
            <w:tcW w:w="642" w:type="dxa"/>
          </w:tcPr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2F313A" w:rsidRPr="0041740E" w:rsidRDefault="002F313A" w:rsidP="002F31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 (с изм. от 28 декабря 2020г., </w:t>
            </w:r>
            <w:proofErr w:type="gramStart"/>
            <w:r w:rsidRPr="0041740E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41740E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Российской Федерации от 28.12.2020 № 3616-р);</w:t>
            </w:r>
          </w:p>
          <w:p w:rsidR="00150A93" w:rsidRPr="0041740E" w:rsidRDefault="002F313A" w:rsidP="002F31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«21» марта 2022 г. № 228 «Об утверждении документации по планировке территории для размещения объекта энергетики федерального значения: «Строительство второй </w:t>
            </w:r>
            <w:proofErr w:type="gramStart"/>
            <w:r w:rsidRPr="0041740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41740E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Pr="0041740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1740E">
              <w:rPr>
                <w:rFonts w:ascii="Times New Roman" w:hAnsi="Times New Roman"/>
                <w:sz w:val="24"/>
                <w:szCs w:val="24"/>
              </w:rPr>
              <w:t xml:space="preserve"> Междуреченская-Степная ориентировочной протяженностью 250 км.»</w:t>
            </w:r>
          </w:p>
          <w:p w:rsidR="00D33D2C" w:rsidRPr="0041740E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</w:t>
            </w:r>
            <w:r w:rsidR="009F1A49" w:rsidRPr="0041740E">
              <w:rPr>
                <w:rFonts w:ascii="Times New Roman" w:hAnsi="Times New Roman"/>
                <w:sz w:val="24"/>
                <w:szCs w:val="24"/>
              </w:rPr>
              <w:t>инвестиционной программе</w:t>
            </w:r>
            <w:r w:rsidRPr="0041740E">
              <w:rPr>
                <w:rFonts w:ascii="Times New Roman" w:hAnsi="Times New Roman"/>
                <w:sz w:val="24"/>
                <w:szCs w:val="24"/>
              </w:rPr>
              <w:t xml:space="preserve"> субъекта естественных монополий)</w:t>
            </w:r>
          </w:p>
        </w:tc>
      </w:tr>
      <w:tr w:rsidR="00D33D2C" w:rsidRPr="0041740E" w:rsidTr="005C10BA">
        <w:tc>
          <w:tcPr>
            <w:tcW w:w="642" w:type="dxa"/>
          </w:tcPr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D33D2C" w:rsidRPr="0041740E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D33D2C" w:rsidRPr="0041740E" w:rsidRDefault="00D33D2C" w:rsidP="004174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33D2C" w:rsidRPr="0041740E" w:rsidTr="005C10BA">
        <w:tc>
          <w:tcPr>
            <w:tcW w:w="642" w:type="dxa"/>
          </w:tcPr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D33D2C" w:rsidRPr="0041740E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1. https://minenergo.gov.ru/</w:t>
            </w:r>
          </w:p>
          <w:p w:rsidR="0041740E" w:rsidRPr="0041740E" w:rsidRDefault="0041740E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2. http://vteya.ru/</w:t>
            </w:r>
            <w:r w:rsidR="00D33D2C" w:rsidRPr="0041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740E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41740E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D33D2C" w:rsidRPr="0041740E" w:rsidTr="005C10BA">
        <w:tc>
          <w:tcPr>
            <w:tcW w:w="642" w:type="dxa"/>
          </w:tcPr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D33D2C" w:rsidRPr="0041740E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D33D2C" w:rsidRPr="0041740E" w:rsidRDefault="00D33D2C" w:rsidP="00D33D2C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41740E">
              <w:rPr>
                <w:sz w:val="24"/>
                <w:szCs w:val="24"/>
                <w:lang w:val="ru-RU"/>
              </w:rPr>
              <w:t>ПАО «ФСК ЕЭС»</w:t>
            </w:r>
          </w:p>
          <w:p w:rsidR="002F313A" w:rsidRPr="0041740E" w:rsidRDefault="002F313A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121353, город Москва, </w:t>
            </w:r>
            <w:proofErr w:type="spellStart"/>
            <w:r w:rsidRPr="0041740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1740E">
              <w:rPr>
                <w:rFonts w:ascii="Times New Roman" w:hAnsi="Times New Roman"/>
                <w:sz w:val="24"/>
                <w:szCs w:val="24"/>
              </w:rPr>
              <w:t>.</w:t>
            </w:r>
            <w:r w:rsidR="0083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40E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Pr="004174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74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1740E">
              <w:rPr>
                <w:rFonts w:ascii="Times New Roman" w:hAnsi="Times New Roman"/>
                <w:sz w:val="24"/>
                <w:szCs w:val="24"/>
              </w:rPr>
              <w:t>. Муниципальный округ Можайский, улица Беловежская, д.4</w:t>
            </w:r>
          </w:p>
          <w:p w:rsidR="00D33D2C" w:rsidRPr="0041740E" w:rsidRDefault="0033469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33D2C" w:rsidRPr="0041740E">
                <w:rPr>
                  <w:rFonts w:ascii="Times New Roman" w:hAnsi="Times New Roman"/>
                  <w:sz w:val="24"/>
                  <w:szCs w:val="24"/>
                </w:rPr>
                <w:t>info@fsk-ees.ru</w:t>
              </w:r>
            </w:hyperlink>
          </w:p>
        </w:tc>
      </w:tr>
      <w:tr w:rsidR="00D33D2C" w:rsidRPr="0041740E" w:rsidTr="005C10BA">
        <w:tc>
          <w:tcPr>
            <w:tcW w:w="642" w:type="dxa"/>
          </w:tcPr>
          <w:p w:rsidR="00D33D2C" w:rsidRPr="0041740E" w:rsidRDefault="00D33D2C" w:rsidP="00D33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D33D2C" w:rsidRPr="0041740E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41740E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41740E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D33D2C" w:rsidRPr="0041740E" w:rsidRDefault="00D33D2C" w:rsidP="00D33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0E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41740E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41740E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0771AE"/>
    <w:multiLevelType w:val="hybridMultilevel"/>
    <w:tmpl w:val="8B886EC8"/>
    <w:lvl w:ilvl="0" w:tplc="BADE5544">
      <w:start w:val="1"/>
      <w:numFmt w:val="decimal"/>
      <w:suff w:val="nothing"/>
      <w:lvlText w:val="%1."/>
      <w:lvlJc w:val="left"/>
      <w:pPr>
        <w:ind w:left="295" w:firstLine="10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5E1D"/>
    <w:rsid w:val="0002073B"/>
    <w:rsid w:val="00046EBD"/>
    <w:rsid w:val="0004740E"/>
    <w:rsid w:val="000545C6"/>
    <w:rsid w:val="00070C83"/>
    <w:rsid w:val="0009033F"/>
    <w:rsid w:val="000919A4"/>
    <w:rsid w:val="000A4C2C"/>
    <w:rsid w:val="000A7C77"/>
    <w:rsid w:val="000C2141"/>
    <w:rsid w:val="000C2A04"/>
    <w:rsid w:val="000D4AE1"/>
    <w:rsid w:val="00103A7D"/>
    <w:rsid w:val="00106912"/>
    <w:rsid w:val="00131CB6"/>
    <w:rsid w:val="001405D0"/>
    <w:rsid w:val="00150A93"/>
    <w:rsid w:val="00151624"/>
    <w:rsid w:val="00175D7D"/>
    <w:rsid w:val="00191AA8"/>
    <w:rsid w:val="001A3FCD"/>
    <w:rsid w:val="001A5A50"/>
    <w:rsid w:val="001B24B2"/>
    <w:rsid w:val="001B79AD"/>
    <w:rsid w:val="001D6914"/>
    <w:rsid w:val="001E24AF"/>
    <w:rsid w:val="001E4B34"/>
    <w:rsid w:val="001E7046"/>
    <w:rsid w:val="001F1F92"/>
    <w:rsid w:val="001F275D"/>
    <w:rsid w:val="001F5C4F"/>
    <w:rsid w:val="0020154B"/>
    <w:rsid w:val="00215F01"/>
    <w:rsid w:val="00217C48"/>
    <w:rsid w:val="00230898"/>
    <w:rsid w:val="00251A29"/>
    <w:rsid w:val="00267455"/>
    <w:rsid w:val="00275AF7"/>
    <w:rsid w:val="00280FA9"/>
    <w:rsid w:val="002827A1"/>
    <w:rsid w:val="002868DE"/>
    <w:rsid w:val="002B2100"/>
    <w:rsid w:val="002B3712"/>
    <w:rsid w:val="002C559D"/>
    <w:rsid w:val="002E490B"/>
    <w:rsid w:val="002F2E07"/>
    <w:rsid w:val="002F313A"/>
    <w:rsid w:val="002F718D"/>
    <w:rsid w:val="00314D58"/>
    <w:rsid w:val="00321B49"/>
    <w:rsid w:val="0033469C"/>
    <w:rsid w:val="003454D4"/>
    <w:rsid w:val="00385FF8"/>
    <w:rsid w:val="003A4C55"/>
    <w:rsid w:val="003B1159"/>
    <w:rsid w:val="003B2CA6"/>
    <w:rsid w:val="003B46BB"/>
    <w:rsid w:val="003D3D40"/>
    <w:rsid w:val="003D5AC3"/>
    <w:rsid w:val="003E203D"/>
    <w:rsid w:val="003E2DBD"/>
    <w:rsid w:val="003F373A"/>
    <w:rsid w:val="0041740E"/>
    <w:rsid w:val="004222E1"/>
    <w:rsid w:val="00426433"/>
    <w:rsid w:val="00445E57"/>
    <w:rsid w:val="004569FE"/>
    <w:rsid w:val="00457508"/>
    <w:rsid w:val="0047157E"/>
    <w:rsid w:val="00481CE9"/>
    <w:rsid w:val="0048623F"/>
    <w:rsid w:val="004A0D50"/>
    <w:rsid w:val="004A57B4"/>
    <w:rsid w:val="004B2B13"/>
    <w:rsid w:val="004D0C0D"/>
    <w:rsid w:val="004D50C5"/>
    <w:rsid w:val="004D6FE2"/>
    <w:rsid w:val="004F0619"/>
    <w:rsid w:val="004F442E"/>
    <w:rsid w:val="005273A5"/>
    <w:rsid w:val="00534790"/>
    <w:rsid w:val="00537F77"/>
    <w:rsid w:val="00546253"/>
    <w:rsid w:val="005645EA"/>
    <w:rsid w:val="00571CF7"/>
    <w:rsid w:val="0058612F"/>
    <w:rsid w:val="005A406B"/>
    <w:rsid w:val="005B57DC"/>
    <w:rsid w:val="005C10BA"/>
    <w:rsid w:val="005D24F0"/>
    <w:rsid w:val="005E57FE"/>
    <w:rsid w:val="005F7CBF"/>
    <w:rsid w:val="005F7EB3"/>
    <w:rsid w:val="00607A54"/>
    <w:rsid w:val="00644580"/>
    <w:rsid w:val="00647621"/>
    <w:rsid w:val="0066067A"/>
    <w:rsid w:val="00692C89"/>
    <w:rsid w:val="006A6EE7"/>
    <w:rsid w:val="006A771A"/>
    <w:rsid w:val="006B1FEC"/>
    <w:rsid w:val="006C26DF"/>
    <w:rsid w:val="006C762D"/>
    <w:rsid w:val="006F62C3"/>
    <w:rsid w:val="007142A5"/>
    <w:rsid w:val="00721CEA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31E5"/>
    <w:rsid w:val="00837B1B"/>
    <w:rsid w:val="00855098"/>
    <w:rsid w:val="0086612A"/>
    <w:rsid w:val="008A6BD0"/>
    <w:rsid w:val="008A7BE3"/>
    <w:rsid w:val="008B7C75"/>
    <w:rsid w:val="008C03D5"/>
    <w:rsid w:val="008E339D"/>
    <w:rsid w:val="008E748F"/>
    <w:rsid w:val="009047B2"/>
    <w:rsid w:val="00913054"/>
    <w:rsid w:val="00920C93"/>
    <w:rsid w:val="009217D3"/>
    <w:rsid w:val="00931EA7"/>
    <w:rsid w:val="009370B3"/>
    <w:rsid w:val="00947A5D"/>
    <w:rsid w:val="00962939"/>
    <w:rsid w:val="00971110"/>
    <w:rsid w:val="009739D9"/>
    <w:rsid w:val="00973C67"/>
    <w:rsid w:val="009900BE"/>
    <w:rsid w:val="009D1C6C"/>
    <w:rsid w:val="009D6E16"/>
    <w:rsid w:val="009F1A49"/>
    <w:rsid w:val="009F57C9"/>
    <w:rsid w:val="00A03B8B"/>
    <w:rsid w:val="00A33B37"/>
    <w:rsid w:val="00A50137"/>
    <w:rsid w:val="00A50B57"/>
    <w:rsid w:val="00A53E8D"/>
    <w:rsid w:val="00A63F58"/>
    <w:rsid w:val="00A70B2B"/>
    <w:rsid w:val="00A83972"/>
    <w:rsid w:val="00A92BEA"/>
    <w:rsid w:val="00AD3AC5"/>
    <w:rsid w:val="00AD5DAC"/>
    <w:rsid w:val="00B03EE7"/>
    <w:rsid w:val="00B26BE1"/>
    <w:rsid w:val="00B311F6"/>
    <w:rsid w:val="00B348AB"/>
    <w:rsid w:val="00B40A61"/>
    <w:rsid w:val="00B54946"/>
    <w:rsid w:val="00B67D28"/>
    <w:rsid w:val="00B95BB1"/>
    <w:rsid w:val="00BB21CF"/>
    <w:rsid w:val="00BB545F"/>
    <w:rsid w:val="00BD0D1F"/>
    <w:rsid w:val="00BF3D5C"/>
    <w:rsid w:val="00BF4DDA"/>
    <w:rsid w:val="00C001D9"/>
    <w:rsid w:val="00C145B6"/>
    <w:rsid w:val="00C174AC"/>
    <w:rsid w:val="00C2042C"/>
    <w:rsid w:val="00C26ED8"/>
    <w:rsid w:val="00C33EAF"/>
    <w:rsid w:val="00C71687"/>
    <w:rsid w:val="00C85C28"/>
    <w:rsid w:val="00C85C87"/>
    <w:rsid w:val="00CA5507"/>
    <w:rsid w:val="00CD01F3"/>
    <w:rsid w:val="00CD088E"/>
    <w:rsid w:val="00CD64AF"/>
    <w:rsid w:val="00D223EB"/>
    <w:rsid w:val="00D33D2C"/>
    <w:rsid w:val="00D35865"/>
    <w:rsid w:val="00D75C35"/>
    <w:rsid w:val="00D85AB8"/>
    <w:rsid w:val="00D92B0E"/>
    <w:rsid w:val="00D93BB4"/>
    <w:rsid w:val="00D95A7E"/>
    <w:rsid w:val="00D96D3A"/>
    <w:rsid w:val="00DD6DA6"/>
    <w:rsid w:val="00DF2A93"/>
    <w:rsid w:val="00E152CA"/>
    <w:rsid w:val="00E34E31"/>
    <w:rsid w:val="00E34F95"/>
    <w:rsid w:val="00E516C7"/>
    <w:rsid w:val="00E7537C"/>
    <w:rsid w:val="00E7734B"/>
    <w:rsid w:val="00E829E4"/>
    <w:rsid w:val="00E95A48"/>
    <w:rsid w:val="00EA395B"/>
    <w:rsid w:val="00EA6D1B"/>
    <w:rsid w:val="00EF6684"/>
    <w:rsid w:val="00F03244"/>
    <w:rsid w:val="00F206BA"/>
    <w:rsid w:val="00F31599"/>
    <w:rsid w:val="00F35483"/>
    <w:rsid w:val="00F473AF"/>
    <w:rsid w:val="00F61E10"/>
    <w:rsid w:val="00F66826"/>
    <w:rsid w:val="00F80192"/>
    <w:rsid w:val="00F84C97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k-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.te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5B0F-CA70-4FDB-A315-60830EFD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2019-08-27T09:19:00Z</cp:lastPrinted>
  <dcterms:created xsi:type="dcterms:W3CDTF">2022-08-31T02:41:00Z</dcterms:created>
  <dcterms:modified xsi:type="dcterms:W3CDTF">2022-08-31T02:41:00Z</dcterms:modified>
</cp:coreProperties>
</file>