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F9B2" w14:textId="71A40A54" w:rsidR="00F95430" w:rsidRPr="009A3095" w:rsidRDefault="0024207E" w:rsidP="00F322F7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0F11C3">
        <w:rPr>
          <w:sz w:val="26"/>
          <w:szCs w:val="26"/>
        </w:rPr>
        <w:t>03</w:t>
      </w:r>
      <w:r w:rsidRPr="0024207E">
        <w:rPr>
          <w:sz w:val="26"/>
          <w:szCs w:val="26"/>
        </w:rPr>
        <w:t>.</w:t>
      </w:r>
      <w:r w:rsidR="000F11C3">
        <w:rPr>
          <w:sz w:val="26"/>
          <w:szCs w:val="26"/>
        </w:rPr>
        <w:t>10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 по </w:t>
      </w:r>
      <w:r w:rsidR="000F11C3">
        <w:rPr>
          <w:sz w:val="26"/>
          <w:szCs w:val="26"/>
        </w:rPr>
        <w:t>09</w:t>
      </w:r>
      <w:r w:rsidRPr="0024207E">
        <w:rPr>
          <w:sz w:val="26"/>
          <w:szCs w:val="26"/>
        </w:rPr>
        <w:t>.</w:t>
      </w:r>
      <w:r w:rsidR="000F11C3">
        <w:rPr>
          <w:sz w:val="26"/>
          <w:szCs w:val="26"/>
        </w:rPr>
        <w:t>10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</w:t>
      </w: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669"/>
        <w:gridCol w:w="6018"/>
        <w:gridCol w:w="1404"/>
        <w:gridCol w:w="6882"/>
      </w:tblGrid>
      <w:tr w:rsidR="00DC7BBA" w:rsidRPr="00A76092" w14:paraId="10076CAF" w14:textId="77777777" w:rsidTr="00522249">
        <w:trPr>
          <w:trHeight w:val="418"/>
          <w:jc w:val="center"/>
        </w:trPr>
        <w:tc>
          <w:tcPr>
            <w:tcW w:w="669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6018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1404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6882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DC7BBA" w:rsidRPr="00E969EB" w14:paraId="1E35C2BC" w14:textId="77777777" w:rsidTr="00522249">
        <w:tblPrEx>
          <w:jc w:val="left"/>
        </w:tblPrEx>
        <w:trPr>
          <w:trHeight w:val="434"/>
        </w:trPr>
        <w:tc>
          <w:tcPr>
            <w:tcW w:w="669" w:type="dxa"/>
            <w:hideMark/>
          </w:tcPr>
          <w:p w14:paraId="4B583FE7" w14:textId="1BF83E3A" w:rsidR="00DC7BBA" w:rsidRPr="00E969EB" w:rsidRDefault="00DC7BBA" w:rsidP="00DC7BBA">
            <w:pPr>
              <w:jc w:val="center"/>
            </w:pPr>
            <w:r>
              <w:t>1</w:t>
            </w:r>
          </w:p>
        </w:tc>
        <w:tc>
          <w:tcPr>
            <w:tcW w:w="6018" w:type="dxa"/>
            <w:hideMark/>
          </w:tcPr>
          <w:p w14:paraId="29578CEE" w14:textId="688BB613" w:rsidR="00DC7BBA" w:rsidRDefault="00DC7BBA" w:rsidP="00DC7BBA">
            <w:pPr>
              <w:jc w:val="center"/>
            </w:pPr>
            <w:r>
              <w:t>Уличная поздравительная акция «От всего сердца»</w:t>
            </w:r>
          </w:p>
          <w:p w14:paraId="52D4D2EA" w14:textId="77777777" w:rsidR="00DC7BBA" w:rsidRDefault="00DC7BBA" w:rsidP="00DC7BBA">
            <w:pPr>
              <w:jc w:val="center"/>
            </w:pPr>
          </w:p>
          <w:p w14:paraId="1EC63FA2" w14:textId="77777777" w:rsidR="00DC7BBA" w:rsidRDefault="00DC7BBA" w:rsidP="00DC7BBA">
            <w:pPr>
              <w:jc w:val="center"/>
            </w:pPr>
            <w:r w:rsidRPr="009928F1">
              <w:rPr>
                <w:noProof/>
              </w:rPr>
              <w:drawing>
                <wp:inline distT="0" distB="0" distL="0" distR="0" wp14:anchorId="48C7ACB3" wp14:editId="10768F89">
                  <wp:extent cx="2909455" cy="2147454"/>
                  <wp:effectExtent l="0" t="0" r="5715" b="5715"/>
                  <wp:docPr id="5" name="Рисунок 7" descr="https://libaskiz.rh.muzkult.ru/media/2022/10/03/1283959481/tdfmfMiRE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ibaskiz.rh.muzkult.ru/media/2022/10/03/1283959481/tdfmfMiRE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5068" r="1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676" cy="2177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FF054" w14:textId="30079234" w:rsidR="00DC7BBA" w:rsidRPr="00E969EB" w:rsidRDefault="00DC7BBA" w:rsidP="00DC7BBA"/>
        </w:tc>
        <w:tc>
          <w:tcPr>
            <w:tcW w:w="1404" w:type="dxa"/>
          </w:tcPr>
          <w:p w14:paraId="7FC050AF" w14:textId="3EAE4AE4" w:rsidR="00DC7BBA" w:rsidRPr="00E969EB" w:rsidRDefault="00DC7BBA" w:rsidP="00DC7BBA">
            <w:pPr>
              <w:jc w:val="center"/>
            </w:pPr>
            <w:r w:rsidRPr="00E47093">
              <w:t>03.10</w:t>
            </w:r>
          </w:p>
        </w:tc>
        <w:tc>
          <w:tcPr>
            <w:tcW w:w="6882" w:type="dxa"/>
            <w:hideMark/>
          </w:tcPr>
          <w:p w14:paraId="0F587F47" w14:textId="28693110" w:rsidR="00DC7BBA" w:rsidRDefault="00DC7BBA" w:rsidP="00DC7BB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47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отрудники Центральной районной библиотеки провели уличную акцию-поздравление «От всего сердца» (посвященной к Международному дню пожилых людей). Акция прошла с раздачей буклетов о здоровом образе жизни с букетом цветов.</w:t>
            </w:r>
          </w:p>
          <w:p w14:paraId="38E219F7" w14:textId="0CB6301E" w:rsidR="00DC7BBA" w:rsidRDefault="00000000" w:rsidP="00DC7BBA">
            <w:pPr>
              <w:jc w:val="both"/>
            </w:pPr>
            <w:hyperlink r:id="rId5" w:history="1">
              <w:r w:rsidR="00DC7BBA" w:rsidRPr="00EC56DE">
                <w:rPr>
                  <w:rStyle w:val="a4"/>
                </w:rPr>
                <w:t>https://libaskiz.rh.muzkult.ru/news/85044450</w:t>
              </w:r>
            </w:hyperlink>
            <w:r w:rsidR="00DC7BBA" w:rsidRPr="00E47093">
              <w:t xml:space="preserve"> </w:t>
            </w:r>
          </w:p>
          <w:p w14:paraId="22E2D5F7" w14:textId="77777777" w:rsidR="00DC7BBA" w:rsidRDefault="00DC7BBA" w:rsidP="00DC7BBA">
            <w:pPr>
              <w:jc w:val="both"/>
            </w:pPr>
          </w:p>
          <w:p w14:paraId="40E14C37" w14:textId="7533DD5F" w:rsidR="00DC7BBA" w:rsidRPr="00E969EB" w:rsidRDefault="00DC7BBA" w:rsidP="00F322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E98720" wp14:editId="0E4F81C3">
                  <wp:extent cx="2677362" cy="1883166"/>
                  <wp:effectExtent l="0" t="0" r="889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255" cy="1925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BBA" w:rsidRPr="00E969EB" w14:paraId="00906C30" w14:textId="77777777" w:rsidTr="00522249">
        <w:tblPrEx>
          <w:jc w:val="left"/>
        </w:tblPrEx>
        <w:trPr>
          <w:trHeight w:val="434"/>
        </w:trPr>
        <w:tc>
          <w:tcPr>
            <w:tcW w:w="669" w:type="dxa"/>
          </w:tcPr>
          <w:p w14:paraId="05572F7B" w14:textId="79583FEA" w:rsidR="00DC7BBA" w:rsidRDefault="00DC7BBA" w:rsidP="00DC7BBA">
            <w:pPr>
              <w:jc w:val="center"/>
            </w:pPr>
            <w:r>
              <w:t>2</w:t>
            </w:r>
          </w:p>
        </w:tc>
        <w:tc>
          <w:tcPr>
            <w:tcW w:w="6018" w:type="dxa"/>
          </w:tcPr>
          <w:p w14:paraId="4399B01B" w14:textId="449FD13D" w:rsidR="00DC7BBA" w:rsidRDefault="00DC7BBA" w:rsidP="00DC7BB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айонный конкурс "</w:t>
            </w:r>
            <w:proofErr w:type="spellStart"/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СуперБабушка</w:t>
            </w:r>
            <w:proofErr w:type="spellEnd"/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2022".</w:t>
            </w:r>
          </w:p>
          <w:p w14:paraId="422AF591" w14:textId="77777777" w:rsidR="00DC7BBA" w:rsidRPr="00DC7BBA" w:rsidRDefault="00DC7BBA" w:rsidP="00DC7BB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CC534B5" w14:textId="409E4964" w:rsidR="00DC7BBA" w:rsidRDefault="00DC7BBA" w:rsidP="00F322F7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708FA254" wp14:editId="2C307E46">
                  <wp:extent cx="2740059" cy="2054431"/>
                  <wp:effectExtent l="0" t="0" r="317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096" cy="211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3483F858" w14:textId="364FECD1" w:rsidR="00DC7BBA" w:rsidRPr="00E47093" w:rsidRDefault="00DC7BBA" w:rsidP="00DC7BBA">
            <w:pPr>
              <w:jc w:val="center"/>
            </w:pPr>
            <w:r>
              <w:t>04.10</w:t>
            </w:r>
          </w:p>
        </w:tc>
        <w:tc>
          <w:tcPr>
            <w:tcW w:w="6882" w:type="dxa"/>
          </w:tcPr>
          <w:p w14:paraId="206B5525" w14:textId="77777777" w:rsidR="00DC7BBA" w:rsidRPr="00DC7BBA" w:rsidRDefault="00DC7BBA" w:rsidP="00DC7BB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октября 2022 г. в 16.00 ч. на сцене Аскизского районного центра культуры и досуга состоялся районный конкурс "</w:t>
            </w:r>
            <w:proofErr w:type="spellStart"/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СуперБабушка</w:t>
            </w:r>
            <w:proofErr w:type="spellEnd"/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2022".</w:t>
            </w:r>
          </w:p>
          <w:p w14:paraId="45DB13B9" w14:textId="50AE2D8E" w:rsidR="00DC7BBA" w:rsidRDefault="00DC7BBA" w:rsidP="00DC7BB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конкурсе участвовали пять культурно-досуговых учреждений и от каждого были представлены участницы, среди которых первое место заняла </w:t>
            </w:r>
            <w:proofErr w:type="spellStart"/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Торточакова</w:t>
            </w:r>
            <w:proofErr w:type="spellEnd"/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Ираида Михайловна (Центр досуга п. Аскиз), второе место заняла </w:t>
            </w:r>
            <w:proofErr w:type="spellStart"/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Чанкова</w:t>
            </w:r>
            <w:proofErr w:type="spellEnd"/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Егоровна (</w:t>
            </w:r>
            <w:proofErr w:type="spellStart"/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Катановский</w:t>
            </w:r>
            <w:proofErr w:type="spellEnd"/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СДК), третье место разделили </w:t>
            </w:r>
            <w:proofErr w:type="spellStart"/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Канзычакова</w:t>
            </w:r>
            <w:proofErr w:type="spellEnd"/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Софья Андреевна (Нижне-</w:t>
            </w:r>
            <w:proofErr w:type="spellStart"/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Тейский</w:t>
            </w:r>
            <w:proofErr w:type="spellEnd"/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СДК) и Редькина Галина Анатольевна (Калининский СДК). </w:t>
            </w:r>
            <w:proofErr w:type="spellStart"/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Таборгина</w:t>
            </w:r>
            <w:proofErr w:type="spellEnd"/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Антонина Прокопьевна (МБУК "Аскизский РЦКД") стала обладательницей приза зрительских симпатий.</w:t>
            </w:r>
          </w:p>
        </w:tc>
      </w:tr>
      <w:tr w:rsidR="00DC7BBA" w:rsidRPr="00E969EB" w14:paraId="339EC30D" w14:textId="77777777" w:rsidTr="00522249">
        <w:tblPrEx>
          <w:jc w:val="left"/>
        </w:tblPrEx>
        <w:trPr>
          <w:trHeight w:val="434"/>
        </w:trPr>
        <w:tc>
          <w:tcPr>
            <w:tcW w:w="669" w:type="dxa"/>
          </w:tcPr>
          <w:p w14:paraId="28048C9A" w14:textId="6CADA4C2" w:rsidR="00DC7BBA" w:rsidRDefault="00DC7BBA" w:rsidP="00DC7BBA">
            <w:pPr>
              <w:jc w:val="center"/>
            </w:pPr>
            <w:r>
              <w:lastRenderedPageBreak/>
              <w:t>3</w:t>
            </w:r>
          </w:p>
        </w:tc>
        <w:tc>
          <w:tcPr>
            <w:tcW w:w="6018" w:type="dxa"/>
          </w:tcPr>
          <w:p w14:paraId="0ADBA570" w14:textId="7B9C017D" w:rsidR="00DC7BBA" w:rsidRDefault="00DC7BBA" w:rsidP="00DC7BB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 ко «Дню учителя»</w:t>
            </w:r>
          </w:p>
          <w:p w14:paraId="2AF212FF" w14:textId="77777777" w:rsidR="00DC7BBA" w:rsidRDefault="00DC7BBA" w:rsidP="00DC7BB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192B780" w14:textId="4DB7BF8C" w:rsidR="00DC7BBA" w:rsidRDefault="00DC7BBA" w:rsidP="00F322F7">
            <w:pPr>
              <w:pStyle w:val="a7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6EECD00" wp14:editId="7402C76C">
                  <wp:extent cx="2802949" cy="21015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264" cy="211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04969540" w14:textId="2DC7795F" w:rsidR="00DC7BBA" w:rsidRDefault="00DC7BBA" w:rsidP="00DC7BBA">
            <w:pPr>
              <w:jc w:val="center"/>
            </w:pPr>
            <w:r>
              <w:t>06.10</w:t>
            </w:r>
          </w:p>
        </w:tc>
        <w:tc>
          <w:tcPr>
            <w:tcW w:w="6882" w:type="dxa"/>
          </w:tcPr>
          <w:p w14:paraId="1FE8735F" w14:textId="67F3B3FE" w:rsidR="00DC7BBA" w:rsidRPr="00DC7BBA" w:rsidRDefault="00DC7BBA" w:rsidP="00DC7BB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всего района собрались педагоги в Аскизский районный центр культуры и досуга, где для них был подготовлен праздничный концерт. В этот день много тёплых слов и пожеланий было сказано со сцены в адрес учителей.</w:t>
            </w:r>
          </w:p>
        </w:tc>
      </w:tr>
      <w:tr w:rsidR="00DC7BBA" w:rsidRPr="00E969EB" w14:paraId="31A6BA5C" w14:textId="77777777" w:rsidTr="00522249">
        <w:tblPrEx>
          <w:jc w:val="left"/>
        </w:tblPrEx>
        <w:trPr>
          <w:trHeight w:val="434"/>
        </w:trPr>
        <w:tc>
          <w:tcPr>
            <w:tcW w:w="669" w:type="dxa"/>
          </w:tcPr>
          <w:p w14:paraId="0102A640" w14:textId="64482E84" w:rsidR="00DC7BBA" w:rsidRDefault="00DC7BBA" w:rsidP="00DC7BBA">
            <w:pPr>
              <w:jc w:val="center"/>
            </w:pPr>
            <w:r>
              <w:t>4</w:t>
            </w:r>
          </w:p>
        </w:tc>
        <w:tc>
          <w:tcPr>
            <w:tcW w:w="6018" w:type="dxa"/>
          </w:tcPr>
          <w:p w14:paraId="0FD36044" w14:textId="018F141B" w:rsidR="00DC7BBA" w:rsidRDefault="00DC7BBA" w:rsidP="00DC7BB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оржественное празднование 50-летнего юбилея Совета ветеранов Аскизского района</w:t>
            </w:r>
          </w:p>
          <w:p w14:paraId="69030AC6" w14:textId="77777777" w:rsidR="00DC7BBA" w:rsidRDefault="00DC7BBA" w:rsidP="00DC7BB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DB0A131" w14:textId="7D2CFA73" w:rsidR="00DC7BBA" w:rsidRDefault="00DC7BBA" w:rsidP="00F322F7">
            <w:pPr>
              <w:pStyle w:val="a7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F1E58C6" wp14:editId="650BB70B">
                  <wp:extent cx="2885704" cy="1624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513" cy="165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5C24BAA1" w14:textId="7DDCE574" w:rsidR="00DC7BBA" w:rsidRDefault="00DC7BBA" w:rsidP="00DC7BBA">
            <w:pPr>
              <w:jc w:val="center"/>
            </w:pPr>
            <w:r>
              <w:t>07.10</w:t>
            </w:r>
          </w:p>
        </w:tc>
        <w:tc>
          <w:tcPr>
            <w:tcW w:w="6882" w:type="dxa"/>
          </w:tcPr>
          <w:p w14:paraId="08189207" w14:textId="60262D57" w:rsidR="00DC7BBA" w:rsidRPr="00DC7BBA" w:rsidRDefault="00DC7BBA" w:rsidP="00DC7BB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C7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Аскизском районном центре культуры и досуга состоялось торжественное празднование 50-летнего юбилея Совета ветеранов Аскизского района. Более полувека эта общественная организация бережно хранит историю родного района, увековечивает память о самых заслуженных её жителях, отстаивает права и интересы людей преклонного возраста. Все эти годы в Совет ветеранов входили заслуженные и деятельные люди, чей славный трудовой путь внёс огромный вклад в развитие родного района.</w:t>
            </w:r>
          </w:p>
        </w:tc>
      </w:tr>
    </w:tbl>
    <w:p w14:paraId="36EFB21C" w14:textId="7A3C19BB" w:rsidR="0024207E" w:rsidRPr="00307C6C" w:rsidRDefault="0024207E" w:rsidP="001D17E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</w:t>
      </w:r>
      <w:r w:rsidR="000F11C3">
        <w:rPr>
          <w:sz w:val="26"/>
          <w:szCs w:val="26"/>
        </w:rPr>
        <w:t xml:space="preserve"> 10.10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 по </w:t>
      </w:r>
      <w:r w:rsidR="000F11C3">
        <w:rPr>
          <w:sz w:val="26"/>
          <w:szCs w:val="26"/>
        </w:rPr>
        <w:t>16</w:t>
      </w:r>
      <w:r w:rsidR="00C01BDE">
        <w:rPr>
          <w:sz w:val="26"/>
          <w:szCs w:val="26"/>
        </w:rPr>
        <w:t>.</w:t>
      </w:r>
      <w:r w:rsidR="000F11C3">
        <w:rPr>
          <w:sz w:val="26"/>
          <w:szCs w:val="26"/>
        </w:rPr>
        <w:t>10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895326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F322F7" w:rsidRPr="00775D55" w14:paraId="2C99717D" w14:textId="77777777" w:rsidTr="00895326">
        <w:tblPrEx>
          <w:jc w:val="left"/>
        </w:tblPrEx>
        <w:trPr>
          <w:trHeight w:val="400"/>
        </w:trPr>
        <w:tc>
          <w:tcPr>
            <w:tcW w:w="704" w:type="dxa"/>
          </w:tcPr>
          <w:p w14:paraId="4BFCD11C" w14:textId="2360B97F" w:rsidR="00F322F7" w:rsidRPr="00775D55" w:rsidRDefault="00F322F7" w:rsidP="00F322F7">
            <w:pPr>
              <w:jc w:val="center"/>
            </w:pPr>
            <w:r>
              <w:t>1</w:t>
            </w:r>
          </w:p>
        </w:tc>
        <w:tc>
          <w:tcPr>
            <w:tcW w:w="6042" w:type="dxa"/>
          </w:tcPr>
          <w:p w14:paraId="3CEEFF3B" w14:textId="34B45F4C" w:rsidR="00F322F7" w:rsidRPr="00C572C2" w:rsidRDefault="00F322F7" w:rsidP="00F322F7">
            <w:pPr>
              <w:jc w:val="center"/>
            </w:pPr>
            <w:r w:rsidRPr="006D093C">
              <w:t>Литературная гостиная «Моим стихам… Настанет свой черед»</w:t>
            </w:r>
            <w:r>
              <w:t xml:space="preserve"> М. Цветаевой</w:t>
            </w:r>
          </w:p>
        </w:tc>
        <w:tc>
          <w:tcPr>
            <w:tcW w:w="2534" w:type="dxa"/>
          </w:tcPr>
          <w:p w14:paraId="37C24F07" w14:textId="77182054" w:rsidR="00F322F7" w:rsidRPr="00C572C2" w:rsidRDefault="00F322F7" w:rsidP="00F322F7">
            <w:pPr>
              <w:jc w:val="center"/>
            </w:pPr>
            <w:r w:rsidRPr="006D093C">
              <w:t>12.10</w:t>
            </w:r>
          </w:p>
        </w:tc>
        <w:tc>
          <w:tcPr>
            <w:tcW w:w="5741" w:type="dxa"/>
          </w:tcPr>
          <w:p w14:paraId="345E9C28" w14:textId="7506ECE3" w:rsidR="00F322F7" w:rsidRPr="00C572C2" w:rsidRDefault="00F322F7" w:rsidP="00F322F7">
            <w:pPr>
              <w:jc w:val="center"/>
            </w:pPr>
            <w:r>
              <w:t>МБУК «</w:t>
            </w:r>
            <w:r w:rsidRPr="00995863">
              <w:t>ЦРБ</w:t>
            </w:r>
            <w:r>
              <w:t xml:space="preserve"> им. М.Е. </w:t>
            </w:r>
            <w:proofErr w:type="spellStart"/>
            <w:r>
              <w:t>Кильчичакова</w:t>
            </w:r>
            <w:proofErr w:type="spellEnd"/>
            <w:r>
              <w:t>»</w:t>
            </w:r>
          </w:p>
        </w:tc>
      </w:tr>
    </w:tbl>
    <w:p w14:paraId="079F2F22" w14:textId="77777777" w:rsidR="0024207E" w:rsidRPr="00132C2A" w:rsidRDefault="0024207E" w:rsidP="00F322F7">
      <w:pPr>
        <w:rPr>
          <w:sz w:val="26"/>
          <w:szCs w:val="26"/>
        </w:rPr>
      </w:pPr>
    </w:p>
    <w:sectPr w:rsidR="0024207E" w:rsidRPr="00132C2A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13391"/>
    <w:rsid w:val="000340B7"/>
    <w:rsid w:val="000477E9"/>
    <w:rsid w:val="000836A9"/>
    <w:rsid w:val="00085551"/>
    <w:rsid w:val="000A440A"/>
    <w:rsid w:val="000B60F1"/>
    <w:rsid w:val="000D2DA0"/>
    <w:rsid w:val="000D5C4A"/>
    <w:rsid w:val="000E0C7D"/>
    <w:rsid w:val="000E5CEC"/>
    <w:rsid w:val="000E79E3"/>
    <w:rsid w:val="000F11C3"/>
    <w:rsid w:val="00104A6B"/>
    <w:rsid w:val="0011183C"/>
    <w:rsid w:val="00132C2A"/>
    <w:rsid w:val="00135396"/>
    <w:rsid w:val="001361EC"/>
    <w:rsid w:val="001428FF"/>
    <w:rsid w:val="00154B53"/>
    <w:rsid w:val="001764D7"/>
    <w:rsid w:val="001B7FD1"/>
    <w:rsid w:val="001D17E2"/>
    <w:rsid w:val="001F05C4"/>
    <w:rsid w:val="00217850"/>
    <w:rsid w:val="00226FFA"/>
    <w:rsid w:val="0024207E"/>
    <w:rsid w:val="00252CAF"/>
    <w:rsid w:val="002618A9"/>
    <w:rsid w:val="00267AAD"/>
    <w:rsid w:val="0027354E"/>
    <w:rsid w:val="002B35C4"/>
    <w:rsid w:val="002C0992"/>
    <w:rsid w:val="002C75E2"/>
    <w:rsid w:val="002D60F0"/>
    <w:rsid w:val="00304986"/>
    <w:rsid w:val="003167A3"/>
    <w:rsid w:val="00320875"/>
    <w:rsid w:val="00330E26"/>
    <w:rsid w:val="00346B90"/>
    <w:rsid w:val="00353A1F"/>
    <w:rsid w:val="0037674A"/>
    <w:rsid w:val="00390295"/>
    <w:rsid w:val="00393F42"/>
    <w:rsid w:val="003A1778"/>
    <w:rsid w:val="003B3C89"/>
    <w:rsid w:val="003E09DE"/>
    <w:rsid w:val="003E30EB"/>
    <w:rsid w:val="0046594C"/>
    <w:rsid w:val="00486EBD"/>
    <w:rsid w:val="004A7729"/>
    <w:rsid w:val="004B5E0B"/>
    <w:rsid w:val="004B7723"/>
    <w:rsid w:val="004D2972"/>
    <w:rsid w:val="004D4C52"/>
    <w:rsid w:val="004E40D1"/>
    <w:rsid w:val="004F0843"/>
    <w:rsid w:val="00515FA1"/>
    <w:rsid w:val="00522249"/>
    <w:rsid w:val="00526981"/>
    <w:rsid w:val="0057389D"/>
    <w:rsid w:val="00574BEF"/>
    <w:rsid w:val="00584B2B"/>
    <w:rsid w:val="00597277"/>
    <w:rsid w:val="005B4794"/>
    <w:rsid w:val="005B72E3"/>
    <w:rsid w:val="005D3C53"/>
    <w:rsid w:val="005E43D1"/>
    <w:rsid w:val="0066694B"/>
    <w:rsid w:val="006F1182"/>
    <w:rsid w:val="006F322D"/>
    <w:rsid w:val="006F370B"/>
    <w:rsid w:val="006F55D3"/>
    <w:rsid w:val="0070153F"/>
    <w:rsid w:val="00704B9F"/>
    <w:rsid w:val="007645EC"/>
    <w:rsid w:val="00770D23"/>
    <w:rsid w:val="00775D55"/>
    <w:rsid w:val="00783DAB"/>
    <w:rsid w:val="007B3E0A"/>
    <w:rsid w:val="007D2E43"/>
    <w:rsid w:val="00805ED6"/>
    <w:rsid w:val="008215D9"/>
    <w:rsid w:val="0084654A"/>
    <w:rsid w:val="00847B81"/>
    <w:rsid w:val="00850069"/>
    <w:rsid w:val="0085430D"/>
    <w:rsid w:val="00856A17"/>
    <w:rsid w:val="00862EE9"/>
    <w:rsid w:val="00871B0D"/>
    <w:rsid w:val="008836D3"/>
    <w:rsid w:val="00883724"/>
    <w:rsid w:val="00895326"/>
    <w:rsid w:val="00895BFA"/>
    <w:rsid w:val="008C3E04"/>
    <w:rsid w:val="008D3BDA"/>
    <w:rsid w:val="00906260"/>
    <w:rsid w:val="00932130"/>
    <w:rsid w:val="009442CC"/>
    <w:rsid w:val="00946BA0"/>
    <w:rsid w:val="00980A2D"/>
    <w:rsid w:val="00992DF0"/>
    <w:rsid w:val="009E02AC"/>
    <w:rsid w:val="009E7A62"/>
    <w:rsid w:val="009F380C"/>
    <w:rsid w:val="00A13251"/>
    <w:rsid w:val="00A17C15"/>
    <w:rsid w:val="00A50196"/>
    <w:rsid w:val="00A57169"/>
    <w:rsid w:val="00A76092"/>
    <w:rsid w:val="00A8630A"/>
    <w:rsid w:val="00A87587"/>
    <w:rsid w:val="00AA5CB2"/>
    <w:rsid w:val="00AC3B3D"/>
    <w:rsid w:val="00AD5FAD"/>
    <w:rsid w:val="00B023FC"/>
    <w:rsid w:val="00B0751A"/>
    <w:rsid w:val="00B24171"/>
    <w:rsid w:val="00B31A65"/>
    <w:rsid w:val="00B37319"/>
    <w:rsid w:val="00B37C46"/>
    <w:rsid w:val="00B46F93"/>
    <w:rsid w:val="00B4789D"/>
    <w:rsid w:val="00B807FA"/>
    <w:rsid w:val="00B835F4"/>
    <w:rsid w:val="00BA1598"/>
    <w:rsid w:val="00BA7FFD"/>
    <w:rsid w:val="00BB6E2A"/>
    <w:rsid w:val="00BC03FE"/>
    <w:rsid w:val="00BE000F"/>
    <w:rsid w:val="00BE1CFA"/>
    <w:rsid w:val="00BE2983"/>
    <w:rsid w:val="00BF0F7F"/>
    <w:rsid w:val="00C01BDE"/>
    <w:rsid w:val="00C10833"/>
    <w:rsid w:val="00C2122C"/>
    <w:rsid w:val="00C2515A"/>
    <w:rsid w:val="00C572C2"/>
    <w:rsid w:val="00C62274"/>
    <w:rsid w:val="00C67AFF"/>
    <w:rsid w:val="00CA59EE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DB5AC6"/>
    <w:rsid w:val="00DC2030"/>
    <w:rsid w:val="00DC7BBA"/>
    <w:rsid w:val="00E2130A"/>
    <w:rsid w:val="00E23C61"/>
    <w:rsid w:val="00E33B21"/>
    <w:rsid w:val="00E61765"/>
    <w:rsid w:val="00E968E6"/>
    <w:rsid w:val="00E969EB"/>
    <w:rsid w:val="00E96B4A"/>
    <w:rsid w:val="00E97E22"/>
    <w:rsid w:val="00EF5DD8"/>
    <w:rsid w:val="00F14280"/>
    <w:rsid w:val="00F20A19"/>
    <w:rsid w:val="00F322F7"/>
    <w:rsid w:val="00F334C7"/>
    <w:rsid w:val="00F37EEE"/>
    <w:rsid w:val="00F56003"/>
    <w:rsid w:val="00F85FDA"/>
    <w:rsid w:val="00F95430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5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267AAD"/>
    <w:rPr>
      <w:b/>
      <w:bCs/>
    </w:rPr>
  </w:style>
  <w:style w:type="paragraph" w:styleId="ac">
    <w:name w:val="Body Text"/>
    <w:basedOn w:val="a"/>
    <w:link w:val="ad"/>
    <w:rsid w:val="00775D55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rsid w:val="00775D55"/>
    <w:rPr>
      <w:rFonts w:ascii="Arial" w:eastAsia="Arial" w:hAnsi="Arial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C572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E969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libaskiz.rh.muzkult.ru/news/850444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100</cp:revision>
  <cp:lastPrinted>2022-10-10T01:11:00Z</cp:lastPrinted>
  <dcterms:created xsi:type="dcterms:W3CDTF">2020-09-25T04:57:00Z</dcterms:created>
  <dcterms:modified xsi:type="dcterms:W3CDTF">2023-02-02T07:25:00Z</dcterms:modified>
</cp:coreProperties>
</file>